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859"/>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9"/>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85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85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9"/>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病理科服务能力提升服务项目</w:t>
      </w:r>
      <w:r>
        <w:rPr>
          <w:rFonts w:hint="eastAsia" w:ascii="宋体" w:hAnsi="宋体" w:eastAsia="宋体"/>
          <w:bCs/>
          <w:color w:val="000000"/>
          <w:sz w:val="36"/>
          <w:szCs w:val="36"/>
          <w:highlight w:val="none"/>
          <w:lang w:eastAsia="zh-CN"/>
        </w:rPr>
      </w:r>
      <w:r/>
    </w:p>
    <w:p>
      <w:pPr>
        <w:pStyle w:val="859"/>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JSZC-320412-CTZB-G2025-0302</w:t>
      </w:r>
      <w:r>
        <w:rPr>
          <w:rFonts w:ascii="宋体" w:hAnsi="宋体"/>
          <w:bCs/>
          <w:color w:val="000000"/>
          <w:sz w:val="36"/>
          <w:szCs w:val="36"/>
          <w:highlight w:val="none"/>
        </w:rPr>
      </w:r>
      <w:r/>
    </w:p>
    <w:p>
      <w:pPr>
        <w:pStyle w:val="859"/>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常州市武进人民医院</w:t>
      </w:r>
      <w:r>
        <w:rPr>
          <w:rFonts w:ascii="宋体" w:hAnsi="宋体"/>
          <w:bCs/>
          <w:color w:val="000000"/>
          <w:sz w:val="36"/>
          <w:szCs w:val="36"/>
          <w:highlight w:val="none"/>
        </w:rPr>
      </w:r>
      <w:r/>
    </w:p>
    <w:p>
      <w:pPr>
        <w:pStyle w:val="859"/>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859"/>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859"/>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859"/>
        <w:rPr>
          <w:rFonts w:ascii="宋体" w:hAnsi="宋体"/>
          <w:color w:val="000000"/>
          <w:highlight w:val="none"/>
        </w:rPr>
      </w:pPr>
      <w:r>
        <w:rPr>
          <w:rFonts w:ascii="宋体" w:hAnsi="宋体"/>
          <w:color w:val="000000"/>
          <w:highlight w:val="none"/>
        </w:rPr>
      </w:r>
      <w:r/>
    </w:p>
    <w:p>
      <w:pPr>
        <w:pStyle w:val="859"/>
        <w:rPr>
          <w:rFonts w:ascii="宋体" w:hAnsi="宋体"/>
          <w:color w:val="000000"/>
          <w:highlight w:val="none"/>
        </w:rPr>
      </w:pPr>
      <w:r>
        <w:rPr>
          <w:rFonts w:ascii="宋体" w:hAnsi="宋体"/>
          <w:color w:val="000000"/>
          <w:highlight w:val="none"/>
        </w:rPr>
      </w:r>
      <w:r/>
    </w:p>
    <w:p>
      <w:pPr>
        <w:pStyle w:val="859"/>
        <w:rPr>
          <w:rFonts w:ascii="宋体" w:hAnsi="宋体"/>
          <w:color w:val="000000"/>
          <w:highlight w:val="none"/>
        </w:rPr>
      </w:pPr>
      <w:r>
        <w:rPr>
          <w:rFonts w:ascii="宋体" w:hAnsi="宋体"/>
          <w:color w:val="000000"/>
          <w:highlight w:val="none"/>
        </w:rPr>
      </w:r>
      <w:r/>
    </w:p>
    <w:p>
      <w:pPr>
        <w:pStyle w:val="91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91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93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93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935"/>
          <w:color w:val="000000"/>
          <w:sz w:val="32"/>
          <w:szCs w:val="32"/>
          <w:highlight w:val="none"/>
        </w:rPr>
        <w:t xml:space="preserve">第三章   资</w:t>
      </w:r>
      <w:bookmarkStart w:id="1" w:name="_Hlt100754117"/>
      <w:r>
        <w:rPr>
          <w:rStyle w:val="935"/>
          <w:color w:val="000000"/>
          <w:sz w:val="32"/>
          <w:szCs w:val="32"/>
          <w:highlight w:val="none"/>
        </w:rPr>
        <w:t xml:space="preserve">格</w:t>
      </w:r>
      <w:bookmarkEnd w:id="1"/>
      <w:r>
        <w:rPr>
          <w:rStyle w:val="93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93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935"/>
          <w:color w:val="000000"/>
          <w:sz w:val="32"/>
          <w:szCs w:val="32"/>
          <w:highlight w:val="none"/>
        </w:rPr>
        <w:t xml:space="preserve">第五章   采购</w:t>
      </w:r>
      <w:bookmarkStart w:id="2" w:name="_Hlt100754102"/>
      <w:r/>
      <w:bookmarkStart w:id="3" w:name="_Hlt100754103"/>
      <w:r>
        <w:rPr>
          <w:rStyle w:val="935"/>
          <w:color w:val="000000"/>
          <w:sz w:val="32"/>
          <w:szCs w:val="32"/>
          <w:highlight w:val="none"/>
        </w:rPr>
        <w:t xml:space="preserve">需</w:t>
      </w:r>
      <w:bookmarkEnd w:id="2"/>
      <w:r/>
      <w:bookmarkEnd w:id="3"/>
      <w:r>
        <w:rPr>
          <w:rStyle w:val="93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93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93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859"/>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85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常州市武进人民医院</w:t>
      </w:r>
      <w:r>
        <w:rPr>
          <w:rFonts w:hint="eastAsia" w:ascii="仿宋" w:hAnsi="仿宋" w:eastAsia="仿宋"/>
          <w:color w:val="000000"/>
          <w:sz w:val="32"/>
          <w:szCs w:val="32"/>
          <w:highlight w:val="none"/>
          <w:lang w:eastAsia="zh-CN"/>
        </w:rPr>
        <w:t xml:space="preserve">病理科服务能力提升服务项目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color w:val="000000"/>
          <w:sz w:val="32"/>
          <w:szCs w:val="32"/>
          <w:highlight w:val="none"/>
          <w:lang w:val="en-US" w:eastAsia="zh-CN"/>
        </w:rPr>
        <w:t xml:space="preserve">2025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09</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61"/>
        <w:ind w:firstLine="643"/>
        <w:jc w:val="left"/>
        <w:spacing w:before="240" w:line="360" w:lineRule="auto"/>
        <w:rPr>
          <w:rFonts w:ascii="仿宋" w:hAnsi="仿宋" w:eastAsia="仿宋"/>
          <w:color w:val="000000"/>
          <w:sz w:val="32"/>
          <w:szCs w:val="32"/>
          <w:highlight w:val="none"/>
        </w:rPr>
      </w:pPr>
      <w:r/>
      <w:bookmarkStart w:id="5" w:name="_Toc28359002"/>
      <w:r/>
      <w:bookmarkStart w:id="6" w:name="_Toc35393621"/>
      <w:r/>
      <w:bookmarkStart w:id="7" w:name="_Toc28359079"/>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JSZC-320412-CTZB-G2025-0302</w:t>
      </w:r>
      <w:r>
        <w:rPr>
          <w:rFonts w:ascii="仿宋" w:hAnsi="仿宋" w:eastAsia="仿宋"/>
          <w:color w:val="000000"/>
          <w:sz w:val="32"/>
          <w:szCs w:val="32"/>
          <w:highlight w:val="none"/>
        </w:rPr>
      </w:r>
      <w:r/>
    </w:p>
    <w:p>
      <w:pPr>
        <w:pStyle w:val="859"/>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常州市武进人民医院</w:t>
      </w:r>
      <w:r>
        <w:rPr>
          <w:rFonts w:hint="eastAsia" w:ascii="仿宋" w:hAnsi="仿宋" w:eastAsia="仿宋"/>
          <w:color w:val="000000"/>
          <w:sz w:val="32"/>
          <w:szCs w:val="32"/>
          <w:highlight w:val="none"/>
          <w:lang w:eastAsia="zh-CN"/>
        </w:rPr>
        <w:t xml:space="preserve">病理科服务能力提升服务项目</w:t>
      </w:r>
      <w:r>
        <w:rPr>
          <w:rFonts w:hint="eastAsia" w:ascii="仿宋" w:hAnsi="仿宋" w:eastAsia="仿宋"/>
          <w:color w:val="000000"/>
          <w:sz w:val="32"/>
          <w:szCs w:val="32"/>
          <w:highlight w:val="none"/>
          <w:lang w:eastAsia="zh-CN"/>
        </w:rPr>
      </w:r>
      <w:r/>
    </w:p>
    <w:p>
      <w:pPr>
        <w:pStyle w:val="859"/>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2700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rPr>
        <w:t xml:space="preserve">本项目对优惠率（%）进行报价</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优惠率报价＞0%。</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530"/>
        <w:gridCol w:w="1700"/>
        <w:gridCol w:w="996"/>
        <w:gridCol w:w="4282"/>
      </w:tblGrid>
      <w:tr>
        <w:trPr>
          <w:trHeight w:val="454"/>
        </w:trPr>
        <w:tc>
          <w:tcPr>
            <w:tcW w:w="394"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28"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7" w:type="dxa"/>
            <w:vAlign w:val="center"/>
            <w:textDirection w:val="lrTb"/>
            <w:noWrap w:val="false"/>
          </w:tcPr>
          <w:p>
            <w:pPr>
              <w:pStyle w:val="859"/>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94"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28" w:type="dxa"/>
            <w:vAlign w:val="center"/>
            <w:textDirection w:val="lrTb"/>
            <w:noWrap w:val="false"/>
          </w:tcPr>
          <w:p>
            <w:pPr>
              <w:pStyle w:val="859"/>
              <w:jc w:val="center"/>
              <w:rPr>
                <w:rFonts w:hint="eastAsia"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eastAsia="zh-CN"/>
              </w:rPr>
              <w:t xml:space="preserve">病理科服务能力提升服务项目</w:t>
            </w:r>
            <w:r>
              <w:rPr>
                <w:rFonts w:hint="eastAsia" w:ascii="仿宋" w:hAnsi="仿宋" w:eastAsia="仿宋"/>
                <w:bCs/>
                <w:color w:val="000000"/>
                <w:sz w:val="32"/>
                <w:szCs w:val="32"/>
                <w:highlight w:val="none"/>
                <w:lang w:val="en-US" w:eastAsia="zh-CN"/>
              </w:rPr>
            </w:r>
            <w:r/>
          </w:p>
        </w:tc>
        <w:tc>
          <w:tcPr>
            <w:tcW w:w="920" w:type="dxa"/>
            <w:vAlign w:val="center"/>
            <w:textDirection w:val="lrTb"/>
            <w:noWrap w:val="false"/>
          </w:tcPr>
          <w:p>
            <w:pPr>
              <w:pStyle w:val="859"/>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lang w:val="en-US" w:eastAsia="zh-CN"/>
              </w:rPr>
              <w:t xml:space="preserve">2700</w:t>
            </w:r>
            <w:r>
              <w:rPr>
                <w:rFonts w:ascii="仿宋" w:hAnsi="仿宋" w:eastAsia="仿宋"/>
                <w:bCs/>
                <w:color w:val="000000"/>
                <w:sz w:val="32"/>
                <w:szCs w:val="32"/>
                <w:highlight w:val="none"/>
              </w:rPr>
            </w:r>
            <w:r/>
          </w:p>
        </w:tc>
        <w:tc>
          <w:tcPr>
            <w:tcW w:w="539" w:type="dxa"/>
            <w:vAlign w:val="center"/>
            <w:textDirection w:val="lrTb"/>
            <w:noWrap w:val="false"/>
          </w:tcPr>
          <w:p>
            <w:pPr>
              <w:pStyle w:val="859"/>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3年</w:t>
            </w:r>
            <w:r>
              <w:rPr>
                <w:rFonts w:ascii="仿宋" w:hAnsi="仿宋" w:eastAsia="仿宋"/>
                <w:bCs/>
                <w:color w:val="000000"/>
                <w:sz w:val="32"/>
                <w:szCs w:val="32"/>
                <w:highlight w:val="none"/>
                <w:lang w:val="en-US" w:eastAsia="zh-CN"/>
              </w:rPr>
            </w:r>
            <w:r/>
          </w:p>
        </w:tc>
        <w:tc>
          <w:tcPr>
            <w:tcW w:w="2317" w:type="dxa"/>
            <w:vAlign w:val="center"/>
            <w:textDirection w:val="lrTb"/>
            <w:noWrap w:val="false"/>
          </w:tcPr>
          <w:p>
            <w:pPr>
              <w:pStyle w:val="859"/>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包含病理科的新平台建设、医技人员支持、病理专家支持、病理人才培训进修服务、病理科室管理运营服务、建立病理质控体系及管理、科研指导及科研技术服务及信息化体系建设</w:t>
            </w:r>
            <w:r>
              <w:rPr>
                <w:rFonts w:ascii="仿宋" w:hAnsi="仿宋" w:eastAsia="仿宋"/>
                <w:color w:val="000000"/>
                <w:sz w:val="32"/>
                <w:szCs w:val="32"/>
                <w:highlight w:val="none"/>
              </w:rPr>
            </w:r>
            <w:r/>
          </w:p>
        </w:tc>
      </w:tr>
    </w:tbl>
    <w:p>
      <w:pPr>
        <w:pStyle w:val="859"/>
        <w:ind w:firstLine="640"/>
        <w:spacing w:line="360" w:lineRule="auto"/>
        <w:rPr>
          <w:rFonts w:ascii="仿宋" w:hAnsi="仿宋" w:eastAsia="仿宋"/>
          <w:color w:val="000000"/>
          <w:sz w:val="32"/>
          <w:szCs w:val="32"/>
          <w:highlight w:val="none"/>
          <w:u w:val="single"/>
          <w:lang w:val="en-US" w:eastAsia="zh-CN"/>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lang w:val="en-US" w:eastAsia="zh-CN"/>
        </w:rPr>
        <w:t xml:space="preserve">三年</w:t>
      </w:r>
      <w:r>
        <w:rPr>
          <w:rFonts w:hint="eastAsia" w:ascii="仿宋" w:hAnsi="仿宋" w:eastAsia="仿宋"/>
          <w:color w:val="000000"/>
          <w:sz w:val="32"/>
          <w:szCs w:val="32"/>
          <w:highlight w:val="none"/>
          <w:lang w:val="en-US" w:eastAsia="zh-CN"/>
        </w:rPr>
        <w:t xml:space="preserve">。</w:t>
      </w:r>
      <w:r>
        <w:rPr>
          <w:rFonts w:ascii="仿宋" w:hAnsi="仿宋" w:eastAsia="仿宋"/>
          <w:color w:val="000000"/>
          <w:sz w:val="32"/>
          <w:szCs w:val="32"/>
          <w:highlight w:val="none"/>
          <w:u w:val="single"/>
          <w:lang w:val="en-US" w:eastAsia="zh-CN"/>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w:t>
      </w:r>
      <w:r>
        <w:rPr>
          <w:rFonts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w:t>
      </w:r>
      <w:r>
        <w:rPr>
          <w:rFonts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61"/>
        <w:ind w:firstLine="643"/>
        <w:jc w:val="left"/>
        <w:spacing w:before="0" w:line="360" w:lineRule="auto"/>
        <w:rPr>
          <w:rFonts w:ascii="仿宋" w:hAnsi="仿宋" w:eastAsia="仿宋"/>
          <w:color w:val="000000"/>
          <w:sz w:val="32"/>
          <w:szCs w:val="32"/>
          <w:highlight w:val="none"/>
        </w:rPr>
      </w:pPr>
      <w:r/>
      <w:bookmarkStart w:id="10" w:name="_Toc35393791"/>
      <w:r/>
      <w:bookmarkStart w:id="11" w:name="_Toc28359003"/>
      <w:r/>
      <w:bookmarkStart w:id="12" w:name="_Toc35393622"/>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w:t>
      </w:r>
      <w:r>
        <w:rPr>
          <w:rFonts w:ascii="仿宋" w:hAnsi="仿宋" w:eastAsia="仿宋"/>
          <w:color w:val="000000"/>
          <w:sz w:val="32"/>
          <w:szCs w:val="32"/>
          <w:highlight w:val="none"/>
        </w:rPr>
        <w:t xml:space="preserve">面向中小企业预留采购份额。</w:t>
      </w:r>
      <w:r>
        <w:rPr>
          <w:rFonts w:ascii="仿宋" w:hAnsi="仿宋" w:eastAsia="仿宋"/>
          <w:color w:val="000000"/>
          <w:sz w:val="32"/>
          <w:szCs w:val="32"/>
          <w:highlight w:val="none"/>
        </w:rPr>
      </w:r>
      <w:r/>
    </w:p>
    <w:p>
      <w:pPr>
        <w:pStyle w:val="859"/>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59"/>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85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861"/>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11</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859"/>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859"/>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861"/>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859"/>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17</w:t>
      </w:r>
      <w:r>
        <w:rPr>
          <w:rFonts w:hint="eastAsia" w:ascii="仿宋" w:hAnsi="仿宋" w:eastAsia="仿宋" w:cs="宋体"/>
          <w:color w:val="000000"/>
          <w:sz w:val="32"/>
          <w:szCs w:val="32"/>
          <w:highlight w:val="none"/>
        </w:rPr>
        <w:t xml:space="preserve">日</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olor w:val="000000"/>
          <w:sz w:val="32"/>
          <w:szCs w:val="32"/>
          <w:highlight w:val="none"/>
          <w:lang w:bidi="ar"/>
        </w:rPr>
        <w:t xml:space="preserve">点</w:t>
      </w:r>
      <w:r>
        <w:rPr>
          <w:rFonts w:hint="eastAsia" w:ascii="仿宋" w:hAnsi="仿宋" w:eastAsia="仿宋"/>
          <w:color w:val="000000"/>
          <w:sz w:val="32"/>
          <w:szCs w:val="32"/>
          <w:highlight w:val="none"/>
          <w:lang w:val="en-US" w:eastAsia="zh-CN" w:bidi="ar"/>
        </w:rPr>
        <w:t xml:space="preserve">30</w:t>
      </w:r>
      <w:r>
        <w:rPr>
          <w:rFonts w:hint="eastAsia" w:ascii="仿宋" w:hAnsi="仿宋" w:eastAsia="仿宋"/>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859"/>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861"/>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84"/>
      <w:r/>
      <w:bookmarkStart w:id="24" w:name="_Toc35393794"/>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861"/>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859"/>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bidi="ar"/>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85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85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85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861"/>
        <w:ind w:firstLine="643"/>
        <w:jc w:val="left"/>
        <w:spacing w:before="0" w:line="360" w:lineRule="auto"/>
        <w:rPr>
          <w:rFonts w:ascii="仿宋" w:hAnsi="仿宋" w:eastAsia="仿宋"/>
          <w:color w:val="000000"/>
          <w:sz w:val="32"/>
          <w:szCs w:val="32"/>
          <w:highlight w:val="none"/>
        </w:rPr>
      </w:pPr>
      <w:r/>
      <w:bookmarkStart w:id="28" w:name="_Toc28359085"/>
      <w:r/>
      <w:bookmarkStart w:id="29" w:name="_Toc35393796"/>
      <w:r/>
      <w:bookmarkStart w:id="30" w:name="_Toc28359008"/>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859"/>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859"/>
        <w:ind w:firstLine="640"/>
        <w:jc w:val="left"/>
        <w:spacing w:line="360" w:lineRule="auto"/>
        <w:rPr>
          <w:rFonts w:hint="eastAsia" w:ascii="仿宋" w:hAnsi="仿宋" w:eastAsia="仿宋"/>
          <w:b w:val="0"/>
          <w:bCs/>
          <w:color w:val="000000"/>
          <w:sz w:val="32"/>
          <w:szCs w:val="32"/>
          <w:highlight w:val="none"/>
        </w:rPr>
      </w:pPr>
      <w:r/>
      <w:bookmarkStart w:id="32" w:name="_Toc28359009"/>
      <w:r/>
      <w:bookmarkStart w:id="33" w:name="_Toc28359086"/>
      <w:r>
        <w:rPr>
          <w:rFonts w:hint="eastAsia" w:ascii="仿宋" w:hAnsi="仿宋" w:eastAsia="仿宋"/>
          <w:b w:val="0"/>
          <w:bCs/>
          <w:color w:val="000000"/>
          <w:sz w:val="32"/>
          <w:szCs w:val="32"/>
          <w:highlight w:val="none"/>
        </w:rPr>
        <w:t xml:space="preserve">名    称：常州市武进人民医院 </w:t>
      </w:r>
      <w:r>
        <w:rPr>
          <w:rFonts w:hint="eastAsia" w:ascii="仿宋" w:hAnsi="仿宋" w:eastAsia="仿宋"/>
          <w:b w:val="0"/>
          <w:bCs/>
          <w:color w:val="000000"/>
          <w:sz w:val="32"/>
          <w:szCs w:val="32"/>
          <w:highlight w:val="none"/>
        </w:rPr>
      </w:r>
      <w:r/>
    </w:p>
    <w:p>
      <w:pPr>
        <w:pStyle w:val="859"/>
        <w:ind w:firstLine="640"/>
        <w:jc w:val="left"/>
        <w:spacing w:line="360" w:lineRule="auto"/>
        <w:rPr>
          <w:rFonts w:hint="eastAsia" w:ascii="仿宋" w:hAnsi="仿宋" w:eastAsia="仿宋"/>
          <w:b w:val="0"/>
          <w:bCs/>
          <w:color w:val="000000"/>
          <w:sz w:val="32"/>
          <w:szCs w:val="32"/>
          <w:highlight w:val="none"/>
        </w:rPr>
      </w:pPr>
      <w:r>
        <w:rPr>
          <w:rFonts w:hint="eastAsia" w:ascii="仿宋" w:hAnsi="仿宋" w:eastAsia="仿宋"/>
          <w:b w:val="0"/>
          <w:bCs/>
          <w:color w:val="000000"/>
          <w:sz w:val="32"/>
          <w:szCs w:val="32"/>
          <w:highlight w:val="none"/>
        </w:rPr>
        <w:t xml:space="preserve">地    址：常州市天宁区永宁北路2号 </w:t>
      </w:r>
      <w:r>
        <w:rPr>
          <w:rFonts w:hint="eastAsia" w:ascii="仿宋" w:hAnsi="仿宋" w:eastAsia="仿宋"/>
          <w:b w:val="0"/>
          <w:bCs/>
          <w:color w:val="000000"/>
          <w:sz w:val="32"/>
          <w:szCs w:val="32"/>
          <w:highlight w:val="none"/>
        </w:rPr>
      </w:r>
      <w:r/>
    </w:p>
    <w:p>
      <w:pPr>
        <w:pStyle w:val="859"/>
        <w:ind w:firstLine="640"/>
        <w:jc w:val="left"/>
        <w:spacing w:line="360" w:lineRule="auto"/>
        <w:rPr>
          <w:rFonts w:ascii="仿宋" w:hAnsi="仿宋" w:eastAsia="仿宋"/>
          <w:b w:val="0"/>
          <w:bCs/>
          <w:color w:val="000000"/>
          <w:sz w:val="32"/>
          <w:szCs w:val="32"/>
          <w:highlight w:val="none"/>
          <w:lang w:val="en-US" w:eastAsia="zh-CN"/>
        </w:rPr>
      </w:pPr>
      <w:r>
        <w:rPr>
          <w:rFonts w:hint="eastAsia" w:ascii="仿宋" w:hAnsi="仿宋" w:eastAsia="仿宋"/>
          <w:b w:val="0"/>
          <w:bCs/>
          <w:color w:val="000000"/>
          <w:sz w:val="32"/>
          <w:szCs w:val="32"/>
          <w:highlight w:val="none"/>
        </w:rPr>
        <w:t xml:space="preserve">联系方式</w:t>
      </w:r>
      <w:r>
        <w:rPr>
          <w:rFonts w:hint="eastAsia" w:ascii="仿宋" w:hAnsi="仿宋" w:eastAsia="仿宋" w:cs="Times New Roman"/>
          <w:b w:val="0"/>
          <w:bCs/>
          <w:color w:val="000000"/>
          <w:sz w:val="32"/>
          <w:szCs w:val="32"/>
          <w:highlight w:val="none"/>
        </w:rPr>
        <w:t xml:space="preserve">：</w:t>
      </w:r>
      <w:r>
        <w:rPr>
          <w:rFonts w:hint="eastAsia" w:ascii="仿宋" w:hAnsi="仿宋" w:eastAsia="仿宋" w:cs="Times New Roman"/>
          <w:b w:val="0"/>
          <w:bCs/>
          <w:color w:val="000000"/>
          <w:sz w:val="32"/>
          <w:szCs w:val="32"/>
          <w:highlight w:val="none"/>
          <w:lang w:val="en-US" w:eastAsia="zh-CN"/>
        </w:rPr>
        <w:t xml:space="preserve">李先生 0519-85579118</w:t>
      </w:r>
      <w:r>
        <w:rPr>
          <w:rFonts w:ascii="仿宋" w:hAnsi="仿宋" w:eastAsia="仿宋"/>
          <w:b w:val="0"/>
          <w:bCs/>
          <w:color w:val="000000"/>
          <w:sz w:val="32"/>
          <w:szCs w:val="32"/>
          <w:highlight w:val="none"/>
          <w:lang w:val="en-US" w:eastAsia="zh-CN"/>
        </w:rPr>
      </w:r>
      <w:r/>
    </w:p>
    <w:p>
      <w:pPr>
        <w:pStyle w:val="859"/>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859"/>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859"/>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859"/>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859"/>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w:t>
      </w:r>
      <w:r>
        <w:rPr>
          <w:rFonts w:ascii="仿宋" w:hAnsi="仿宋" w:eastAsia="仿宋"/>
          <w:b/>
          <w:color w:val="000000"/>
          <w:sz w:val="32"/>
          <w:szCs w:val="32"/>
          <w:highlight w:val="none"/>
        </w:rPr>
        <w:t xml:space="preserve">方式</w:t>
      </w:r>
      <w:bookmarkEnd w:id="34"/>
      <w:r/>
      <w:bookmarkEnd w:id="35"/>
      <w:r>
        <w:rPr>
          <w:rFonts w:hint="eastAsia" w:ascii="仿宋" w:hAnsi="仿宋" w:eastAsia="仿宋"/>
          <w:b/>
          <w:color w:val="000000"/>
          <w:sz w:val="32"/>
          <w:szCs w:val="32"/>
          <w:highlight w:val="none"/>
        </w:rPr>
      </w:r>
      <w:r/>
    </w:p>
    <w:p>
      <w:pPr>
        <w:pStyle w:val="859"/>
        <w:ind w:firstLine="640"/>
        <w:spacing w:line="360" w:lineRule="auto"/>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彭艳、王逸菲</w:t>
      </w:r>
      <w:r>
        <w:rPr>
          <w:rFonts w:ascii="仿宋" w:hAnsi="仿宋" w:eastAsia="仿宋"/>
          <w:color w:val="000000"/>
          <w:sz w:val="32"/>
          <w:szCs w:val="32"/>
          <w:highlight w:val="none"/>
          <w:lang w:val="en-US" w:eastAsia="zh-CN"/>
        </w:rPr>
      </w:r>
      <w:r/>
    </w:p>
    <w:p>
      <w:pPr>
        <w:pStyle w:val="859"/>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w:t>
      </w:r>
      <w:r>
        <w:rPr>
          <w:rFonts w:hint="eastAsia" w:ascii="仿宋" w:hAnsi="仿宋" w:eastAsia="仿宋"/>
          <w:color w:val="000000"/>
          <w:sz w:val="32"/>
          <w:szCs w:val="32"/>
          <w:highlight w:val="none"/>
        </w:rPr>
        <w:t xml:space="preserve">519-81580152  81580191  81580192（转分机号</w:t>
      </w:r>
      <w:r>
        <w:rPr>
          <w:rFonts w:hint="eastAsia" w:ascii="仿宋" w:hAnsi="仿宋" w:eastAsia="仿宋"/>
          <w:color w:val="000000"/>
          <w:sz w:val="32"/>
          <w:szCs w:val="32"/>
          <w:highlight w:val="none"/>
          <w:lang w:val="en-US" w:eastAsia="zh-CN"/>
        </w:rPr>
        <w:t xml:space="preserve">6034</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859"/>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50774783"/>
      <w:r/>
      <w:bookmarkStart w:id="37" w:name="_Toc127161488"/>
      <w:r/>
      <w:bookmarkStart w:id="38" w:name="_Toc195842950"/>
      <w:r/>
      <w:bookmarkStart w:id="39" w:name="_Toc226965856"/>
      <w:r/>
      <w:bookmarkStart w:id="40" w:name="_Toc127151777"/>
      <w:r/>
      <w:bookmarkStart w:id="41" w:name="_Toc99301420"/>
      <w:r/>
      <w:bookmarkStart w:id="42" w:name="_Toc264969275"/>
      <w:r/>
      <w:bookmarkStart w:id="43" w:name="_Toc305158928"/>
      <w:r/>
      <w:bookmarkStart w:id="44" w:name="_Toc353825548"/>
      <w:r/>
      <w:bookmarkStart w:id="45" w:name="_Toc512937850"/>
      <w:r/>
      <w:bookmarkStart w:id="46" w:name="_Toc305158854"/>
      <w:r/>
      <w:bookmarkStart w:id="47" w:name="_Toc353873938"/>
      <w:r/>
      <w:bookmarkStart w:id="48" w:name="_Toc265228423"/>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861"/>
        <w:spacing w:before="0" w:line="360" w:lineRule="auto"/>
        <w:tabs>
          <w:tab w:val="center" w:pos="4592" w:leader="none"/>
          <w:tab w:val="left" w:pos="7860" w:leader="none"/>
        </w:tabs>
        <w:rPr>
          <w:rFonts w:ascii="宋体" w:hAnsi="宋体" w:eastAsia="宋体"/>
          <w:color w:val="000000"/>
          <w:sz w:val="28"/>
          <w:highlight w:val="none"/>
        </w:rPr>
      </w:pPr>
      <w:r/>
      <w:bookmarkStart w:id="49" w:name="_Toc151190146"/>
      <w:r/>
      <w:bookmarkStart w:id="50" w:name="_Toc127151720"/>
      <w:r/>
      <w:bookmarkStart w:id="51" w:name="_Toc150480757"/>
      <w:r/>
      <w:bookmarkStart w:id="52" w:name="_Toc151193907"/>
      <w:r/>
      <w:bookmarkStart w:id="53" w:name="_Toc149720812"/>
      <w:r/>
      <w:bookmarkStart w:id="54" w:name="_Toc150774724"/>
      <w:r/>
      <w:bookmarkStart w:id="55" w:name="_Toc226309763"/>
      <w:r/>
      <w:bookmarkStart w:id="56" w:name="_Toc127151519"/>
      <w:r/>
      <w:bookmarkStart w:id="57" w:name="_Toc164229360"/>
      <w:r/>
      <w:bookmarkStart w:id="58" w:name="_Toc226965709"/>
      <w:r/>
      <w:bookmarkStart w:id="59" w:name="_Toc150774619"/>
      <w:r/>
      <w:bookmarkStart w:id="60" w:name="_Toc127161433"/>
      <w:r/>
      <w:bookmarkStart w:id="61" w:name="_Toc164608788"/>
      <w:r/>
      <w:bookmarkStart w:id="62" w:name="_Toc151193833"/>
      <w:r/>
      <w:bookmarkStart w:id="63" w:name="_Toc164351613"/>
      <w:r/>
      <w:bookmarkStart w:id="64" w:name="_Toc150509270"/>
      <w:r/>
      <w:bookmarkStart w:id="65" w:name="_Toc151193761"/>
      <w:r/>
      <w:bookmarkStart w:id="66" w:name="_Toc226965792"/>
      <w:r/>
      <w:bookmarkStart w:id="67" w:name="_Toc520356144"/>
      <w:r/>
      <w:bookmarkStart w:id="68" w:name="_Toc195842884"/>
      <w:r/>
      <w:bookmarkStart w:id="69" w:name="_Toc164229214"/>
      <w:r/>
      <w:bookmarkStart w:id="70" w:name="_Toc226337215"/>
      <w:r/>
      <w:bookmarkStart w:id="71" w:name="_Toc151193689"/>
      <w:r/>
      <w:bookmarkStart w:id="72" w:name="_Toc151193617"/>
      <w:r/>
      <w:bookmarkStart w:id="73" w:name="_Toc164608633"/>
      <w:r/>
      <w:bookmarkStart w:id="74" w:name="_Toc142311021"/>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859"/>
        <w:jc w:val="center"/>
        <w:rPr>
          <w:rFonts w:ascii="宋体" w:hAnsi="宋体"/>
          <w:b/>
          <w:color w:val="000000"/>
          <w:sz w:val="28"/>
          <w:szCs w:val="28"/>
          <w:highlight w:val="none"/>
        </w:rPr>
      </w:pPr>
      <w:r>
        <w:rPr>
          <w:rFonts w:ascii="宋体" w:hAnsi="宋体"/>
          <w:b/>
          <w:color w:val="000000"/>
          <w:sz w:val="28"/>
          <w:szCs w:val="28"/>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9"/>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85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85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898"/>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898"/>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859"/>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859"/>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898"/>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w:t>
            </w:r>
            <w:r>
              <w:rPr>
                <w:rFonts w:hint="eastAsia" w:ascii="宋体" w:hAnsi="宋体" w:cs="宋体"/>
                <w:color w:val="000000"/>
                <w:sz w:val="24"/>
                <w:highlight w:val="none"/>
              </w:rPr>
              <w:t xml:space="preserve">所属行业</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w:t>
            </w:r>
            <w:r>
              <w:rPr>
                <w:rFonts w:hint="eastAsia" w:ascii="宋体" w:hAnsi="宋体" w:cs="宋体"/>
                <w:color w:val="000000"/>
                <w:sz w:val="24"/>
                <w:highlight w:val="none"/>
              </w:rPr>
              <w:t xml:space="preserve">60</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color w:val="000000"/>
                <w:sz w:val="24"/>
                <w:highlight w:val="none"/>
                <w:lang w:val="en-US" w:eastAsia="zh-CN"/>
              </w:rPr>
              <w:t xml:space="preserve">2025</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t xml:space="preserve">0519-81580152  81580191  81580192（转分机号</w:t>
            </w:r>
            <w:r>
              <w:rPr>
                <w:rFonts w:hint="eastAsia" w:ascii="宋体" w:hAnsi="宋体" w:cs="宋体"/>
                <w:color w:val="000000"/>
                <w:sz w:val="24"/>
                <w:highlight w:val="none"/>
                <w:lang w:val="en-US" w:eastAsia="zh-CN"/>
              </w:rPr>
              <w:t xml:space="preserve">6034</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（1）收费对象：</w:t>
            </w:r>
            <w:r>
              <w:rPr>
                <w:rFonts w:hint="eastAsia" w:ascii="宋体" w:hAnsi="宋体" w:cs="宋体"/>
                <w:b/>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859"/>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中标人</w:t>
            </w:r>
            <w:r>
              <w:rPr>
                <w:rFonts w:hint="eastAsia" w:ascii="宋体" w:hAnsi="宋体" w:eastAsia="宋体" w:cs="宋体"/>
                <w:color w:val="000000"/>
                <w:sz w:val="24"/>
                <w:highlight w:val="none"/>
                <w:lang w:eastAsia="zh-CN"/>
              </w:rPr>
            </w:r>
            <w:r/>
          </w:p>
          <w:p>
            <w:pPr>
              <w:pStyle w:val="859"/>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（2）收费标准：</w:t>
            </w:r>
            <w:r>
              <w:rPr>
                <w:rFonts w:hint="eastAsia" w:ascii="宋体" w:hAnsi="宋体" w:cs="宋体"/>
                <w:b/>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须按其</w:t>
            </w:r>
            <w:r>
              <w:rPr>
                <w:rFonts w:hint="eastAsia" w:ascii="宋体" w:hAnsi="宋体" w:cs="宋体"/>
                <w:color w:val="000000"/>
                <w:sz w:val="24"/>
                <w:highlight w:val="none"/>
                <w:lang w:eastAsia="zh-CN"/>
              </w:rPr>
              <w:t xml:space="preserve">中标</w:t>
            </w:r>
            <w:r>
              <w:rPr>
                <w:rFonts w:hint="eastAsia" w:ascii="宋体" w:hAnsi="宋体" w:cs="宋体"/>
                <w:color w:val="000000"/>
                <w:sz w:val="24"/>
                <w:highlight w:val="none"/>
              </w:rPr>
              <w:t xml:space="preserve">金额的0.</w:t>
            </w:r>
            <w:r>
              <w:rPr>
                <w:rFonts w:hint="eastAsia" w:ascii="宋体" w:hAnsi="宋体" w:cs="宋体"/>
                <w:color w:val="000000"/>
                <w:sz w:val="24"/>
                <w:highlight w:val="none"/>
                <w:lang w:val="en-US" w:eastAsia="zh-CN"/>
              </w:rPr>
              <w:t xml:space="preserve">65</w:t>
            </w:r>
            <w:r>
              <w:rPr>
                <w:rFonts w:hint="eastAsia" w:ascii="宋体" w:hAnsi="宋体" w:cs="宋体"/>
                <w:color w:val="000000"/>
                <w:sz w:val="24"/>
                <w:highlight w:val="none"/>
              </w:rPr>
              <w:t xml:space="preserve">%计算并支付代理费。代理费按上述计算方法不足人民币3000元的，按人民币3000元收取。</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b/>
                <w:color w:val="000000"/>
                <w:sz w:val="24"/>
                <w:highlight w:val="none"/>
              </w:rPr>
              <w:t xml:space="preserve">（3）缴纳时间：</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应在领取</w:t>
            </w:r>
            <w:r>
              <w:rPr>
                <w:rFonts w:hint="eastAsia" w:ascii="宋体" w:hAnsi="宋体" w:cs="宋体"/>
                <w:color w:val="000000"/>
                <w:sz w:val="24"/>
                <w:highlight w:val="none"/>
                <w:lang w:eastAsia="zh-CN"/>
              </w:rPr>
              <w:t xml:space="preserve">中标</w:t>
            </w:r>
            <w:r>
              <w:rPr>
                <w:rFonts w:hint="eastAsia" w:ascii="宋体" w:hAnsi="宋体" w:cs="宋体"/>
                <w:color w:val="000000"/>
                <w:sz w:val="24"/>
                <w:highlight w:val="none"/>
              </w:rPr>
              <w:t xml:space="preserve">通知书时将</w:t>
            </w:r>
            <w:r>
              <w:rPr>
                <w:rFonts w:hint="eastAsia" w:ascii="宋体" w:hAnsi="宋体" w:cs="宋体"/>
                <w:b w:val="0"/>
                <w:bCs w:val="0"/>
                <w:color w:val="000000"/>
                <w:sz w:val="24"/>
                <w:highlight w:val="none"/>
              </w:rPr>
              <w:t xml:space="preserve">代理费</w:t>
            </w:r>
            <w:r>
              <w:rPr>
                <w:rFonts w:hint="eastAsia" w:ascii="宋体" w:hAnsi="宋体" w:cs="宋体"/>
                <w:color w:val="000000"/>
                <w:sz w:val="24"/>
                <w:highlight w:val="none"/>
              </w:rPr>
              <w:t xml:space="preserve">支付至常州市城投建设工程招标有限公司账户。</w:t>
            </w:r>
            <w:r>
              <w:rPr>
                <w:rFonts w:hint="eastAsia" w:ascii="宋体" w:hAnsi="宋体" w:cs="宋体"/>
                <w:color w:val="000000"/>
                <w:sz w:val="24"/>
                <w:highlight w:val="none"/>
              </w:rPr>
            </w:r>
            <w:r/>
          </w:p>
          <w:p>
            <w:pPr>
              <w:pStyle w:val="85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85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85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859"/>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859"/>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859"/>
        <w:jc w:val="center"/>
        <w:spacing w:before="240" w:after="240"/>
        <w:rPr>
          <w:rFonts w:hint="eastAsia" w:ascii="宋体" w:hAnsi="宋体" w:cs="宋体"/>
          <w:b/>
          <w:color w:val="000000"/>
          <w:sz w:val="28"/>
          <w:szCs w:val="28"/>
          <w:highlight w:val="none"/>
        </w:rPr>
      </w:pPr>
      <w:r/>
      <w:bookmarkStart w:id="75" w:name="_Toc353825542"/>
      <w:r/>
      <w:bookmarkStart w:id="76" w:name="_Toc305158785"/>
      <w:r/>
      <w:bookmarkStart w:id="77" w:name="_Toc226337213"/>
      <w:r/>
      <w:bookmarkStart w:id="78" w:name="_Toc305158859"/>
      <w:r/>
      <w:bookmarkStart w:id="79" w:name="_Toc353873662"/>
      <w:r/>
      <w:bookmarkStart w:id="80" w:name="_Toc226965790"/>
      <w:r/>
      <w:bookmarkStart w:id="81" w:name="_Toc264969207"/>
      <w:r/>
      <w:bookmarkStart w:id="82" w:name="_Toc195842882"/>
      <w:r/>
      <w:bookmarkStart w:id="83" w:name="_Toc353873932"/>
      <w:r/>
      <w:bookmarkStart w:id="84" w:name="_Toc150774722"/>
      <w:r/>
      <w:bookmarkStart w:id="85" w:name="_Toc127151517"/>
      <w:r/>
      <w:bookmarkStart w:id="86" w:name="_Toc265228355"/>
      <w:r/>
      <w:bookmarkStart w:id="87" w:name="_Toc142311019"/>
      <w:r/>
      <w:bookmarkStart w:id="88" w:name="_Toc15048075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861"/>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1193760"/>
      <w:r/>
      <w:bookmarkStart w:id="92" w:name="_Toc150774618"/>
      <w:r/>
      <w:bookmarkStart w:id="93" w:name="_Toc151193832"/>
      <w:r/>
      <w:bookmarkStart w:id="94" w:name="_Toc151193688"/>
      <w:r/>
      <w:bookmarkStart w:id="95" w:name="_Toc151193906"/>
      <w:r/>
      <w:bookmarkStart w:id="96" w:name="_Toc305158786"/>
      <w:r/>
      <w:bookmarkStart w:id="97" w:name="_Toc265228356"/>
      <w:r/>
      <w:bookmarkStart w:id="98" w:name="_Toc226337214"/>
      <w:r/>
      <w:bookmarkStart w:id="99" w:name="_Toc226309762"/>
      <w:r/>
      <w:bookmarkStart w:id="100" w:name="_Toc150480756"/>
      <w:r/>
      <w:bookmarkStart w:id="101" w:name="_Toc151190145"/>
      <w:r/>
      <w:bookmarkStart w:id="102" w:name="_Toc305158860"/>
      <w:r/>
      <w:bookmarkStart w:id="103" w:name="_Toc226965791"/>
      <w:r/>
      <w:bookmarkStart w:id="104" w:name="_Toc150509269"/>
      <w:r/>
      <w:bookmarkStart w:id="105" w:name="_Toc226965708"/>
      <w:r/>
      <w:bookmarkStart w:id="106" w:name="_Toc195842883"/>
      <w:r/>
      <w:bookmarkStart w:id="107" w:name="_Toc264969208"/>
      <w:r/>
      <w:bookmarkStart w:id="108" w:name="_Toc151193616"/>
      <w:r/>
      <w:bookmarkStart w:id="109" w:name="_Toc142311020"/>
      <w:r/>
      <w:bookmarkStart w:id="110" w:name="_Toc150774723"/>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95842885"/>
      <w:r/>
      <w:bookmarkStart w:id="116" w:name="_Toc151190147"/>
      <w:r/>
      <w:bookmarkStart w:id="117" w:name="_Toc127151520"/>
      <w:r/>
      <w:bookmarkStart w:id="118" w:name="_Toc164229361"/>
      <w:r/>
      <w:bookmarkStart w:id="119" w:name="_Toc265228358"/>
      <w:r/>
      <w:bookmarkStart w:id="120" w:name="_Toc164229215"/>
      <w:r/>
      <w:bookmarkStart w:id="121" w:name="_Toc226965710"/>
      <w:r/>
      <w:bookmarkStart w:id="122" w:name="_Toc150774620"/>
      <w:r/>
      <w:bookmarkStart w:id="123" w:name="_Toc226965793"/>
      <w:r/>
      <w:bookmarkStart w:id="124" w:name="_Toc127161434"/>
      <w:r/>
      <w:bookmarkStart w:id="125" w:name="_Toc150480758"/>
      <w:r/>
      <w:bookmarkStart w:id="126" w:name="_Toc151193908"/>
      <w:r/>
      <w:bookmarkStart w:id="127" w:name="_Toc226309764"/>
      <w:r/>
      <w:bookmarkStart w:id="128" w:name="_Toc150509271"/>
      <w:r/>
      <w:bookmarkStart w:id="129" w:name="_Toc142311022"/>
      <w:r/>
      <w:bookmarkStart w:id="130" w:name="_Toc164351614"/>
      <w:r/>
      <w:bookmarkStart w:id="131" w:name="_Toc305158788"/>
      <w:r/>
      <w:bookmarkStart w:id="132" w:name="_Toc151193618"/>
      <w:r/>
      <w:bookmarkStart w:id="133" w:name="_Toc305158862"/>
      <w:r/>
      <w:bookmarkStart w:id="134" w:name="_Toc164608634"/>
      <w:r/>
      <w:bookmarkStart w:id="135" w:name="_Toc150774725"/>
      <w:r/>
      <w:bookmarkStart w:id="136" w:name="_Toc164608789"/>
      <w:r/>
      <w:bookmarkStart w:id="137" w:name="_Toc151193762"/>
      <w:r/>
      <w:bookmarkStart w:id="138" w:name="_Toc226337216"/>
      <w:r/>
      <w:bookmarkStart w:id="139" w:name="_Toc151193690"/>
      <w:r/>
      <w:bookmarkStart w:id="140" w:name="_Toc151193834"/>
      <w:r/>
      <w:bookmarkStart w:id="141" w:name="_Toc149720813"/>
      <w:r/>
      <w:bookmarkStart w:id="142" w:name="_Toc127151721"/>
      <w:r/>
      <w:bookmarkStart w:id="143" w:name="_Toc264969210"/>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0774622"/>
      <w:r/>
      <w:bookmarkStart w:id="145" w:name="_Toc151193692"/>
      <w:r/>
      <w:bookmarkStart w:id="146" w:name="_Toc151193620"/>
      <w:r/>
      <w:bookmarkStart w:id="147" w:name="_Toc142311024"/>
      <w:r/>
      <w:bookmarkStart w:id="148" w:name="_Toc127151522"/>
      <w:r/>
      <w:bookmarkStart w:id="149" w:name="_Toc151193836"/>
      <w:r/>
      <w:bookmarkStart w:id="150" w:name="_Toc305158864"/>
      <w:r/>
      <w:bookmarkStart w:id="151" w:name="_Toc226337218"/>
      <w:r/>
      <w:bookmarkStart w:id="152" w:name="_Toc226309766"/>
      <w:r/>
      <w:bookmarkStart w:id="153" w:name="_Toc151190149"/>
      <w:r/>
      <w:bookmarkStart w:id="154" w:name="_Toc150480760"/>
      <w:r/>
      <w:bookmarkStart w:id="155" w:name="_Toc226965795"/>
      <w:r/>
      <w:bookmarkStart w:id="156" w:name="_Toc226965712"/>
      <w:r/>
      <w:bookmarkStart w:id="157" w:name="_Toc195842887"/>
      <w:r/>
      <w:bookmarkStart w:id="158" w:name="_Toc150774727"/>
      <w:r/>
      <w:bookmarkStart w:id="159" w:name="_Toc151193764"/>
      <w:r/>
      <w:bookmarkStart w:id="160" w:name="_Toc265228360"/>
      <w:r/>
      <w:bookmarkStart w:id="161" w:name="_Toc264969212"/>
      <w:r/>
      <w:bookmarkStart w:id="162" w:name="_Toc150509273"/>
      <w:r/>
      <w:bookmarkStart w:id="163" w:name="_Toc520356146"/>
      <w:r/>
      <w:bookmarkStart w:id="164" w:name="_Toc151193910"/>
      <w:r/>
      <w:bookmarkStart w:id="165" w:name="_Toc305158790"/>
      <w:r>
        <w:rPr>
          <w:rFonts w:hint="eastAsia" w:ascii="宋体" w:hAnsi="宋体" w:cs="宋体"/>
          <w:color w:val="000000"/>
          <w:sz w:val="28"/>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9"/>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85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5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85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95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859"/>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85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859"/>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859"/>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86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27151724"/>
      <w:r/>
      <w:bookmarkStart w:id="168" w:name="_Toc151193765"/>
      <w:r/>
      <w:bookmarkStart w:id="169" w:name="_Toc305158791"/>
      <w:r/>
      <w:bookmarkStart w:id="170" w:name="_Toc226337219"/>
      <w:r/>
      <w:bookmarkStart w:id="171" w:name="_Toc151193911"/>
      <w:r/>
      <w:bookmarkStart w:id="172" w:name="_Toc226965796"/>
      <w:r/>
      <w:bookmarkStart w:id="173" w:name="_Toc264969213"/>
      <w:r/>
      <w:bookmarkStart w:id="174" w:name="_Toc127151523"/>
      <w:r/>
      <w:bookmarkStart w:id="175" w:name="_Toc149720816"/>
      <w:r/>
      <w:bookmarkStart w:id="176" w:name="_Toc150774623"/>
      <w:r/>
      <w:bookmarkStart w:id="177" w:name="_Toc195842888"/>
      <w:r/>
      <w:bookmarkStart w:id="178" w:name="_Toc164608637"/>
      <w:r/>
      <w:bookmarkStart w:id="179" w:name="_Toc150509274"/>
      <w:r/>
      <w:bookmarkStart w:id="180" w:name="_Toc265228361"/>
      <w:r/>
      <w:bookmarkStart w:id="181" w:name="_Toc164229218"/>
      <w:r/>
      <w:bookmarkStart w:id="182" w:name="_Toc164229364"/>
      <w:r/>
      <w:bookmarkStart w:id="183" w:name="_Toc151190150"/>
      <w:r/>
      <w:bookmarkStart w:id="184" w:name="_Toc164608792"/>
      <w:r/>
      <w:bookmarkStart w:id="185" w:name="_Toc142311025"/>
      <w:r/>
      <w:bookmarkStart w:id="186" w:name="_Toc520356147"/>
      <w:r/>
      <w:bookmarkStart w:id="187" w:name="_Toc151193693"/>
      <w:r/>
      <w:bookmarkStart w:id="188" w:name="_Toc226309767"/>
      <w:r/>
      <w:bookmarkStart w:id="189" w:name="_Toc151193837"/>
      <w:r/>
      <w:bookmarkStart w:id="190" w:name="_Toc151193621"/>
      <w:r/>
      <w:bookmarkStart w:id="191" w:name="_Toc226965713"/>
      <w:r/>
      <w:bookmarkStart w:id="192" w:name="_Toc305158865"/>
      <w:r/>
      <w:bookmarkStart w:id="193" w:name="_Toc164351617"/>
      <w:r/>
      <w:bookmarkStart w:id="194" w:name="_Toc127161437"/>
      <w:r/>
      <w:bookmarkStart w:id="195" w:name="_Toc150774728"/>
      <w:r/>
      <w:bookmarkStart w:id="196" w:name="_Toc15048076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861"/>
        <w:ind w:firstLine="562"/>
        <w:spacing w:before="0" w:line="360" w:lineRule="auto"/>
        <w:rPr>
          <w:rFonts w:hint="eastAsia" w:ascii="宋体" w:hAnsi="宋体" w:eastAsia="宋体" w:cs="宋体"/>
          <w:color w:val="000000"/>
          <w:sz w:val="28"/>
          <w:highlight w:val="none"/>
        </w:rPr>
      </w:pPr>
      <w:r/>
      <w:bookmarkStart w:id="197" w:name="_Toc305158794"/>
      <w:r/>
      <w:bookmarkStart w:id="198" w:name="_Toc150480764"/>
      <w:r/>
      <w:bookmarkStart w:id="199" w:name="_Toc195842891"/>
      <w:r/>
      <w:bookmarkStart w:id="200" w:name="_Toc150774626"/>
      <w:r/>
      <w:bookmarkStart w:id="201" w:name="_Toc264969216"/>
      <w:r/>
      <w:bookmarkStart w:id="202" w:name="_Toc305158868"/>
      <w:r/>
      <w:bookmarkStart w:id="203" w:name="_Toc151193914"/>
      <w:r/>
      <w:bookmarkStart w:id="204" w:name="_Toc265228364"/>
      <w:r/>
      <w:bookmarkStart w:id="205" w:name="_Toc226965799"/>
      <w:r/>
      <w:bookmarkStart w:id="206" w:name="_Toc151193624"/>
      <w:r/>
      <w:bookmarkStart w:id="207" w:name="_Toc150509277"/>
      <w:r/>
      <w:bookmarkStart w:id="208" w:name="_Toc151193768"/>
      <w:r/>
      <w:bookmarkStart w:id="209" w:name="_Toc226309770"/>
      <w:r/>
      <w:bookmarkStart w:id="210" w:name="_Toc516367020"/>
      <w:r/>
      <w:bookmarkStart w:id="211" w:name="_Toc226337222"/>
      <w:r/>
      <w:bookmarkStart w:id="212" w:name="_Toc226965716"/>
      <w:r/>
      <w:bookmarkStart w:id="213" w:name="_Toc151190153"/>
      <w:r/>
      <w:bookmarkStart w:id="214" w:name="_Toc151193840"/>
      <w:r/>
      <w:bookmarkStart w:id="215" w:name="_Toc127151526"/>
      <w:r/>
      <w:bookmarkStart w:id="216" w:name="_Toc150774731"/>
      <w:r/>
      <w:bookmarkStart w:id="217" w:name="_Toc142311028"/>
      <w:r/>
      <w:bookmarkStart w:id="218" w:name="_Toc520356150"/>
      <w:r/>
      <w:bookmarkStart w:id="219" w:name="_Toc151193696"/>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64351621"/>
      <w:r/>
      <w:bookmarkStart w:id="221" w:name="_Toc151190154"/>
      <w:r/>
      <w:bookmarkStart w:id="222" w:name="_Toc226965717"/>
      <w:r/>
      <w:bookmarkStart w:id="223" w:name="_Toc226309771"/>
      <w:r/>
      <w:bookmarkStart w:id="224" w:name="_Toc127151728"/>
      <w:r/>
      <w:bookmarkStart w:id="225" w:name="_Toc305158795"/>
      <w:r/>
      <w:bookmarkStart w:id="226" w:name="_Toc151193915"/>
      <w:r/>
      <w:bookmarkStart w:id="227" w:name="_Toc516367021"/>
      <w:r/>
      <w:bookmarkStart w:id="228" w:name="_Toc164229222"/>
      <w:r/>
      <w:bookmarkStart w:id="229" w:name="_Toc151193841"/>
      <w:r/>
      <w:bookmarkStart w:id="230" w:name="_Toc150480765"/>
      <w:r/>
      <w:bookmarkStart w:id="231" w:name="_Toc520356151"/>
      <w:r/>
      <w:bookmarkStart w:id="232" w:name="_Toc305158869"/>
      <w:r/>
      <w:bookmarkStart w:id="233" w:name="_Toc164229368"/>
      <w:r/>
      <w:bookmarkStart w:id="234" w:name="_Toc264969217"/>
      <w:r/>
      <w:bookmarkStart w:id="235" w:name="_Toc195842892"/>
      <w:r/>
      <w:bookmarkStart w:id="236" w:name="_Toc164608796"/>
      <w:r/>
      <w:bookmarkStart w:id="237" w:name="_Toc164608641"/>
      <w:r/>
      <w:bookmarkStart w:id="238" w:name="_Toc265228365"/>
      <w:r/>
      <w:bookmarkStart w:id="239" w:name="_Toc151193697"/>
      <w:r/>
      <w:bookmarkStart w:id="240" w:name="_Toc149720820"/>
      <w:r/>
      <w:bookmarkStart w:id="241" w:name="_Toc127151527"/>
      <w:r/>
      <w:bookmarkStart w:id="242" w:name="_Toc127161441"/>
      <w:r/>
      <w:bookmarkStart w:id="243" w:name="_Toc226337223"/>
      <w:r/>
      <w:bookmarkStart w:id="244" w:name="_Toc150774627"/>
      <w:r/>
      <w:bookmarkStart w:id="245" w:name="_Toc150774732"/>
      <w:r/>
      <w:bookmarkStart w:id="246" w:name="_Toc142311029"/>
      <w:r/>
      <w:bookmarkStart w:id="247" w:name="_Toc226965800"/>
      <w:r/>
      <w:bookmarkStart w:id="248" w:name="_Toc151193625"/>
      <w:r/>
      <w:bookmarkStart w:id="249" w:name="_Toc151193769"/>
      <w:r/>
      <w:bookmarkStart w:id="250" w:name="_Toc150509278"/>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264969218"/>
      <w:r/>
      <w:bookmarkStart w:id="252" w:name="_Toc142311030"/>
      <w:r/>
      <w:bookmarkStart w:id="253" w:name="_Toc151193698"/>
      <w:r/>
      <w:bookmarkStart w:id="254" w:name="_Toc305158870"/>
      <w:r/>
      <w:bookmarkStart w:id="255" w:name="_Toc164608797"/>
      <w:r/>
      <w:bookmarkStart w:id="256" w:name="_Toc226965718"/>
      <w:r/>
      <w:bookmarkStart w:id="257" w:name="_Toc151193842"/>
      <w:r/>
      <w:bookmarkStart w:id="258" w:name="_Toc516367022"/>
      <w:r/>
      <w:bookmarkStart w:id="259" w:name="_Ref467306676"/>
      <w:r/>
      <w:bookmarkStart w:id="260" w:name="_Ref467306195"/>
      <w:r/>
      <w:bookmarkStart w:id="261" w:name="_Toc151193770"/>
      <w:r/>
      <w:bookmarkStart w:id="262" w:name="_Toc150774628"/>
      <w:r/>
      <w:bookmarkStart w:id="263" w:name="_Toc127151528"/>
      <w:r/>
      <w:bookmarkStart w:id="264" w:name="_Toc127161442"/>
      <w:r/>
      <w:bookmarkStart w:id="265" w:name="_Toc226965801"/>
      <w:r/>
      <w:bookmarkStart w:id="266" w:name="_Toc226337224"/>
      <w:r/>
      <w:bookmarkStart w:id="267" w:name="_Toc164351622"/>
      <w:r/>
      <w:bookmarkStart w:id="268" w:name="_Toc164229369"/>
      <w:r/>
      <w:bookmarkStart w:id="269" w:name="_Toc127151729"/>
      <w:r/>
      <w:bookmarkStart w:id="270" w:name="_Toc195842893"/>
      <w:r/>
      <w:bookmarkStart w:id="271" w:name="_Toc151193626"/>
      <w:r/>
      <w:bookmarkStart w:id="272" w:name="_Toc520356152"/>
      <w:r/>
      <w:bookmarkStart w:id="273" w:name="_Toc226309772"/>
      <w:r/>
      <w:bookmarkStart w:id="274" w:name="_Toc150480766"/>
      <w:r/>
      <w:bookmarkStart w:id="275" w:name="_Toc150774733"/>
      <w:r/>
      <w:bookmarkStart w:id="276" w:name="_Toc149720821"/>
      <w:r/>
      <w:bookmarkStart w:id="277" w:name="_Toc151190155"/>
      <w:r/>
      <w:bookmarkStart w:id="278" w:name="_Toc305158796"/>
      <w:r/>
      <w:bookmarkStart w:id="279" w:name="_Toc164608642"/>
      <w:r/>
      <w:bookmarkStart w:id="280" w:name="_Toc164229223"/>
      <w:r/>
      <w:bookmarkStart w:id="281" w:name="_Toc265228366"/>
      <w:r/>
      <w:bookmarkStart w:id="282" w:name="_Toc151193916"/>
      <w:r/>
      <w:bookmarkStart w:id="283" w:name="_Toc150509279"/>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0774630"/>
      <w:r/>
      <w:bookmarkStart w:id="286" w:name="_Toc151193918"/>
      <w:r/>
      <w:bookmarkStart w:id="287" w:name="_Toc150480768"/>
      <w:r/>
      <w:bookmarkStart w:id="288" w:name="_Toc151193628"/>
      <w:r/>
      <w:bookmarkStart w:id="289" w:name="_Toc149720823"/>
      <w:r/>
      <w:bookmarkStart w:id="290" w:name="_Toc127151530"/>
      <w:r/>
      <w:bookmarkStart w:id="291" w:name="_Toc150509281"/>
      <w:r/>
      <w:bookmarkStart w:id="292" w:name="_Toc151193772"/>
      <w:r/>
      <w:bookmarkStart w:id="293" w:name="_Toc195842895"/>
      <w:r/>
      <w:bookmarkStart w:id="294" w:name="_Toc520356155"/>
      <w:r/>
      <w:bookmarkStart w:id="295" w:name="_Toc151193844"/>
      <w:r/>
      <w:bookmarkStart w:id="296" w:name="_Toc127161444"/>
      <w:r/>
      <w:bookmarkStart w:id="297" w:name="_Toc164351624"/>
      <w:r/>
      <w:bookmarkStart w:id="298" w:name="_Toc164229225"/>
      <w:r/>
      <w:bookmarkStart w:id="299" w:name="_Toc150774735"/>
      <w:r/>
      <w:bookmarkStart w:id="300" w:name="_Toc142311032"/>
      <w:r/>
      <w:bookmarkStart w:id="301" w:name="_Toc164229371"/>
      <w:r/>
      <w:bookmarkStart w:id="302" w:name="_Toc151193700"/>
      <w:r/>
      <w:bookmarkStart w:id="303" w:name="_Toc127151731"/>
      <w:r/>
      <w:bookmarkStart w:id="304" w:name="_Toc151190157"/>
      <w:r/>
      <w:bookmarkStart w:id="305" w:name="_Toc164608644"/>
      <w:r/>
      <w:bookmarkStart w:id="306" w:name="_Toc164608799"/>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50509282"/>
      <w:r/>
      <w:bookmarkStart w:id="308" w:name="_Toc226965721"/>
      <w:r/>
      <w:bookmarkStart w:id="309" w:name="_Toc226337227"/>
      <w:r/>
      <w:bookmarkStart w:id="310" w:name="_Toc150774736"/>
      <w:r/>
      <w:bookmarkStart w:id="311" w:name="_Toc164608800"/>
      <w:r/>
      <w:bookmarkStart w:id="312" w:name="_Toc164351625"/>
      <w:r/>
      <w:bookmarkStart w:id="313" w:name="_Toc150480769"/>
      <w:r/>
      <w:bookmarkStart w:id="314" w:name="_Toc305158799"/>
      <w:r/>
      <w:bookmarkStart w:id="315" w:name="_Toc164229226"/>
      <w:r/>
      <w:bookmarkStart w:id="316" w:name="_Toc226965804"/>
      <w:r/>
      <w:bookmarkStart w:id="317" w:name="_Toc127161445"/>
      <w:r/>
      <w:bookmarkStart w:id="318" w:name="_Toc151193629"/>
      <w:r/>
      <w:bookmarkStart w:id="319" w:name="_Ref467306513"/>
      <w:r/>
      <w:bookmarkStart w:id="320" w:name="_Toc151190158"/>
      <w:r/>
      <w:bookmarkStart w:id="321" w:name="_Toc142311033"/>
      <w:r/>
      <w:bookmarkStart w:id="322" w:name="_Toc265228369"/>
      <w:r/>
      <w:bookmarkStart w:id="323" w:name="_Toc195842896"/>
      <w:r/>
      <w:bookmarkStart w:id="324" w:name="_Toc151193773"/>
      <w:r/>
      <w:bookmarkStart w:id="325" w:name="_Toc226309775"/>
      <w:r/>
      <w:bookmarkStart w:id="326" w:name="_Toc127151531"/>
      <w:r/>
      <w:bookmarkStart w:id="327" w:name="_Toc151193701"/>
      <w:r/>
      <w:bookmarkStart w:id="328" w:name="_Toc149720824"/>
      <w:r/>
      <w:bookmarkStart w:id="329" w:name="_Toc151193845"/>
      <w:r/>
      <w:bookmarkStart w:id="330" w:name="_Toc164608645"/>
      <w:r/>
      <w:bookmarkStart w:id="331" w:name="_Toc127151732"/>
      <w:r/>
      <w:bookmarkStart w:id="332" w:name="_Toc264969221"/>
      <w:r/>
      <w:bookmarkStart w:id="333" w:name="_Toc520356156"/>
      <w:r/>
      <w:bookmarkStart w:id="334" w:name="_Toc150774631"/>
      <w:r/>
      <w:bookmarkStart w:id="335" w:name="_Toc305158873"/>
      <w:r/>
      <w:bookmarkStart w:id="336" w:name="_Toc151193919"/>
      <w:r/>
      <w:bookmarkStart w:id="337" w:name="_Toc16422937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859"/>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27161446"/>
      <w:r/>
      <w:bookmarkStart w:id="339" w:name="_Toc151193702"/>
      <w:r/>
      <w:bookmarkStart w:id="340" w:name="_Toc520356157"/>
      <w:r/>
      <w:bookmarkStart w:id="341" w:name="_Toc151193920"/>
      <w:r/>
      <w:bookmarkStart w:id="342" w:name="_Toc164608646"/>
      <w:r/>
      <w:bookmarkStart w:id="343" w:name="_Toc151193630"/>
      <w:r/>
      <w:bookmarkStart w:id="344" w:name="_Toc226309776"/>
      <w:r/>
      <w:bookmarkStart w:id="345" w:name="_Toc127151733"/>
      <w:r/>
      <w:bookmarkStart w:id="346" w:name="_Toc150509283"/>
      <w:r/>
      <w:bookmarkStart w:id="347" w:name="_Toc226965805"/>
      <w:r/>
      <w:bookmarkStart w:id="348" w:name="_Toc150774632"/>
      <w:r/>
      <w:bookmarkStart w:id="349" w:name="_Toc127151532"/>
      <w:r/>
      <w:bookmarkStart w:id="350" w:name="_Toc305158800"/>
      <w:r/>
      <w:bookmarkStart w:id="351" w:name="_Toc149720825"/>
      <w:r/>
      <w:bookmarkStart w:id="352" w:name="_Toc164229227"/>
      <w:r/>
      <w:bookmarkStart w:id="353" w:name="_Toc305158874"/>
      <w:r/>
      <w:bookmarkStart w:id="354" w:name="_Toc164608801"/>
      <w:r/>
      <w:bookmarkStart w:id="355" w:name="_Toc151193846"/>
      <w:r/>
      <w:bookmarkStart w:id="356" w:name="_Toc151193774"/>
      <w:r/>
      <w:bookmarkStart w:id="357" w:name="_Toc164351626"/>
      <w:r/>
      <w:bookmarkStart w:id="358" w:name="_Toc142311034"/>
      <w:r/>
      <w:bookmarkStart w:id="359" w:name="_Toc264969222"/>
      <w:r/>
      <w:bookmarkStart w:id="360" w:name="_Toc151190159"/>
      <w:r/>
      <w:bookmarkStart w:id="361" w:name="_Toc150774737"/>
      <w:r/>
      <w:bookmarkStart w:id="362" w:name="_Toc195842897"/>
      <w:r/>
      <w:bookmarkStart w:id="363" w:name="_Toc226337228"/>
      <w:r/>
      <w:bookmarkStart w:id="364" w:name="_Toc226965722"/>
      <w:r/>
      <w:bookmarkStart w:id="365" w:name="_Toc265228370"/>
      <w:r/>
      <w:bookmarkStart w:id="366" w:name="_Toc164229373"/>
      <w:r/>
      <w:bookmarkStart w:id="367" w:name="_Toc15048077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305158801"/>
      <w:r/>
      <w:bookmarkStart w:id="369" w:name="_Toc151193847"/>
      <w:r/>
      <w:bookmarkStart w:id="370" w:name="_Toc149720826"/>
      <w:r/>
      <w:bookmarkStart w:id="371" w:name="_Toc150774738"/>
      <w:r/>
      <w:bookmarkStart w:id="372" w:name="_Toc150774633"/>
      <w:r/>
      <w:bookmarkStart w:id="373" w:name="_Toc226965723"/>
      <w:r/>
      <w:bookmarkStart w:id="374" w:name="_Toc164608647"/>
      <w:r/>
      <w:bookmarkStart w:id="375" w:name="_Toc150480771"/>
      <w:r/>
      <w:bookmarkStart w:id="376" w:name="_Toc195842898"/>
      <w:r/>
      <w:bookmarkStart w:id="377" w:name="_Toc151193703"/>
      <w:r/>
      <w:bookmarkStart w:id="378" w:name="_Toc226309777"/>
      <w:r/>
      <w:bookmarkStart w:id="379" w:name="_Toc151190160"/>
      <w:r/>
      <w:bookmarkStart w:id="380" w:name="_Toc305158875"/>
      <w:r/>
      <w:bookmarkStart w:id="381" w:name="_Toc164351627"/>
      <w:r/>
      <w:bookmarkStart w:id="382" w:name="_Toc164608802"/>
      <w:r/>
      <w:bookmarkStart w:id="383" w:name="_Toc127161447"/>
      <w:r/>
      <w:bookmarkStart w:id="384" w:name="_Toc151193921"/>
      <w:r/>
      <w:bookmarkStart w:id="385" w:name="_Toc226337229"/>
      <w:r/>
      <w:bookmarkStart w:id="386" w:name="_Toc127151734"/>
      <w:r/>
      <w:bookmarkStart w:id="387" w:name="_Toc265228371"/>
      <w:r/>
      <w:bookmarkStart w:id="388" w:name="_Toc142311035"/>
      <w:r/>
      <w:bookmarkStart w:id="389" w:name="_Toc264969223"/>
      <w:r/>
      <w:bookmarkStart w:id="390" w:name="_Toc164229374"/>
      <w:r/>
      <w:bookmarkStart w:id="391" w:name="_Toc226965806"/>
      <w:r/>
      <w:bookmarkStart w:id="392" w:name="_Toc151193775"/>
      <w:r/>
      <w:bookmarkStart w:id="393" w:name="_Toc520356158"/>
      <w:r/>
      <w:bookmarkStart w:id="394" w:name="_Toc150509284"/>
      <w:r/>
      <w:bookmarkStart w:id="395" w:name="_Toc164229228"/>
      <w:r/>
      <w:bookmarkStart w:id="396" w:name="_Toc151193631"/>
      <w:r/>
      <w:bookmarkStart w:id="397" w:name="_Toc127151533"/>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776"/>
      <w:r/>
      <w:bookmarkStart w:id="399" w:name="_Toc305158802"/>
      <w:r/>
      <w:bookmarkStart w:id="400" w:name="_Toc226337230"/>
      <w:r/>
      <w:bookmarkStart w:id="401" w:name="_Toc151193704"/>
      <w:r/>
      <w:bookmarkStart w:id="402" w:name="_Toc150480772"/>
      <w:r/>
      <w:bookmarkStart w:id="403" w:name="_Toc150774634"/>
      <w:r/>
      <w:bookmarkStart w:id="404" w:name="_Toc142311036"/>
      <w:r/>
      <w:bookmarkStart w:id="405" w:name="_Toc226965724"/>
      <w:r/>
      <w:bookmarkStart w:id="406" w:name="_Toc520356159"/>
      <w:r/>
      <w:bookmarkStart w:id="407" w:name="_Toc265228372"/>
      <w:r/>
      <w:bookmarkStart w:id="408" w:name="_Toc151193922"/>
      <w:r/>
      <w:bookmarkStart w:id="409" w:name="_Toc151190161"/>
      <w:r/>
      <w:bookmarkStart w:id="410" w:name="_Toc150509285"/>
      <w:r/>
      <w:bookmarkStart w:id="411" w:name="_Toc264969224"/>
      <w:r/>
      <w:bookmarkStart w:id="412" w:name="_Toc226965807"/>
      <w:r/>
      <w:bookmarkStart w:id="413" w:name="_Toc305158876"/>
      <w:r/>
      <w:bookmarkStart w:id="414" w:name="_Toc151193848"/>
      <w:r/>
      <w:bookmarkStart w:id="415" w:name="_Toc151193632"/>
      <w:r/>
      <w:bookmarkStart w:id="416" w:name="_Toc127151534"/>
      <w:r/>
      <w:bookmarkStart w:id="417" w:name="_Toc150774739"/>
      <w:r/>
      <w:bookmarkStart w:id="418" w:name="_Toc195842899"/>
      <w:r/>
      <w:bookmarkStart w:id="419" w:name="_Toc226309778"/>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859"/>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86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27161449"/>
      <w:r/>
      <w:bookmarkStart w:id="421" w:name="_Toc151190162"/>
      <w:r/>
      <w:bookmarkStart w:id="422" w:name="_Toc151193777"/>
      <w:r/>
      <w:bookmarkStart w:id="423" w:name="_Toc305158877"/>
      <w:r/>
      <w:bookmarkStart w:id="424" w:name="_Toc226309779"/>
      <w:r/>
      <w:bookmarkStart w:id="425" w:name="_Toc164229230"/>
      <w:r/>
      <w:bookmarkStart w:id="426" w:name="_Toc520356160"/>
      <w:r/>
      <w:bookmarkStart w:id="427" w:name="_Toc226965725"/>
      <w:r/>
      <w:bookmarkStart w:id="428" w:name="_Toc226965808"/>
      <w:r/>
      <w:bookmarkStart w:id="429" w:name="_Toc164351629"/>
      <w:r/>
      <w:bookmarkStart w:id="430" w:name="_Toc127151535"/>
      <w:r/>
      <w:bookmarkStart w:id="431" w:name="_Toc151193923"/>
      <w:r/>
      <w:bookmarkStart w:id="432" w:name="_Toc164608804"/>
      <w:r/>
      <w:bookmarkStart w:id="433" w:name="_Toc305158803"/>
      <w:r/>
      <w:bookmarkStart w:id="434" w:name="_Toc127151736"/>
      <w:r/>
      <w:bookmarkStart w:id="435" w:name="_Toc150774740"/>
      <w:r/>
      <w:bookmarkStart w:id="436" w:name="_Toc164229376"/>
      <w:r/>
      <w:bookmarkStart w:id="437" w:name="_Toc164608649"/>
      <w:r/>
      <w:bookmarkStart w:id="438" w:name="_Toc142311037"/>
      <w:r/>
      <w:bookmarkStart w:id="439" w:name="_Toc149720828"/>
      <w:r/>
      <w:bookmarkStart w:id="440" w:name="_Toc150480773"/>
      <w:r/>
      <w:bookmarkStart w:id="441" w:name="_Toc150774635"/>
      <w:r/>
      <w:bookmarkStart w:id="442" w:name="_Toc264969225"/>
      <w:r/>
      <w:bookmarkStart w:id="443" w:name="_Toc151193633"/>
      <w:r/>
      <w:bookmarkStart w:id="444" w:name="_Toc195842900"/>
      <w:r/>
      <w:bookmarkStart w:id="445" w:name="_Toc151193705"/>
      <w:r/>
      <w:bookmarkStart w:id="446" w:name="_Toc150509286"/>
      <w:r/>
      <w:bookmarkStart w:id="447" w:name="_Toc151193849"/>
      <w:r/>
      <w:bookmarkStart w:id="448" w:name="_Toc226337231"/>
      <w:r/>
      <w:bookmarkStart w:id="449" w:name="_Toc265228373"/>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27151737"/>
      <w:r/>
      <w:bookmarkStart w:id="451" w:name="_Toc164351630"/>
      <w:r/>
      <w:bookmarkStart w:id="452" w:name="_Toc142311038"/>
      <w:r/>
      <w:bookmarkStart w:id="453" w:name="_Toc520356161"/>
      <w:r/>
      <w:bookmarkStart w:id="454" w:name="_Toc150774636"/>
      <w:r/>
      <w:bookmarkStart w:id="455" w:name="_Toc127151536"/>
      <w:r/>
      <w:bookmarkStart w:id="456" w:name="_Toc264969226"/>
      <w:r/>
      <w:bookmarkStart w:id="457" w:name="_Toc151193634"/>
      <w:r/>
      <w:bookmarkStart w:id="458" w:name="_Toc265228374"/>
      <w:r/>
      <w:bookmarkStart w:id="459" w:name="_Toc151190163"/>
      <w:r/>
      <w:bookmarkStart w:id="460" w:name="_Toc226965809"/>
      <w:r/>
      <w:bookmarkStart w:id="461" w:name="_Toc151193850"/>
      <w:r/>
      <w:bookmarkStart w:id="462" w:name="_Toc305158804"/>
      <w:r/>
      <w:bookmarkStart w:id="463" w:name="_Toc151193706"/>
      <w:r/>
      <w:bookmarkStart w:id="464" w:name="_Toc226309780"/>
      <w:r/>
      <w:bookmarkStart w:id="465" w:name="_Toc150774741"/>
      <w:r/>
      <w:bookmarkStart w:id="466" w:name="_Toc150480774"/>
      <w:r/>
      <w:bookmarkStart w:id="467" w:name="_Toc151193924"/>
      <w:r/>
      <w:bookmarkStart w:id="468" w:name="_Toc226337232"/>
      <w:r/>
      <w:bookmarkStart w:id="469" w:name="_Toc164608805"/>
      <w:r/>
      <w:bookmarkStart w:id="470" w:name="_Toc150509287"/>
      <w:r/>
      <w:bookmarkStart w:id="471" w:name="_Toc151193778"/>
      <w:r/>
      <w:bookmarkStart w:id="472" w:name="_Toc164608650"/>
      <w:r/>
      <w:bookmarkStart w:id="473" w:name="_Toc127161450"/>
      <w:r/>
      <w:bookmarkStart w:id="474" w:name="_Toc164229231"/>
      <w:r/>
      <w:bookmarkStart w:id="475" w:name="_Toc164229377"/>
      <w:r/>
      <w:bookmarkStart w:id="476" w:name="_Toc226965726"/>
      <w:r/>
      <w:bookmarkStart w:id="477" w:name="_Toc305158878"/>
      <w:r/>
      <w:bookmarkStart w:id="478" w:name="_Toc195842901"/>
      <w:r/>
      <w:bookmarkStart w:id="479" w:name="_Toc149720829"/>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0480775"/>
      <w:r/>
      <w:bookmarkStart w:id="481" w:name="_Toc226965810"/>
      <w:r/>
      <w:bookmarkStart w:id="482" w:name="_Toc164608651"/>
      <w:r/>
      <w:bookmarkStart w:id="483" w:name="_Toc127151537"/>
      <w:r/>
      <w:bookmarkStart w:id="484" w:name="_Toc226965727"/>
      <w:r/>
      <w:bookmarkStart w:id="485" w:name="_Toc164229378"/>
      <w:r/>
      <w:bookmarkStart w:id="486" w:name="_Toc520356162"/>
      <w:r/>
      <w:bookmarkStart w:id="487" w:name="_Toc151193707"/>
      <w:r/>
      <w:bookmarkStart w:id="488" w:name="_Toc226309781"/>
      <w:r/>
      <w:bookmarkStart w:id="489" w:name="_Toc151193925"/>
      <w:r/>
      <w:bookmarkStart w:id="490" w:name="_Toc151193635"/>
      <w:r/>
      <w:bookmarkStart w:id="491" w:name="_Toc127151738"/>
      <w:r/>
      <w:bookmarkStart w:id="492" w:name="_Toc264969227"/>
      <w:r/>
      <w:bookmarkStart w:id="493" w:name="_Toc164351631"/>
      <w:r/>
      <w:bookmarkStart w:id="494" w:name="_Toc151193779"/>
      <w:r/>
      <w:bookmarkStart w:id="495" w:name="_Toc127161451"/>
      <w:r/>
      <w:bookmarkStart w:id="496" w:name="_Toc226337233"/>
      <w:r/>
      <w:bookmarkStart w:id="497" w:name="_Toc142311039"/>
      <w:r/>
      <w:bookmarkStart w:id="498" w:name="_Toc149720830"/>
      <w:r/>
      <w:bookmarkStart w:id="499" w:name="_Toc150774742"/>
      <w:r/>
      <w:bookmarkStart w:id="500" w:name="_Toc164229232"/>
      <w:r/>
      <w:bookmarkStart w:id="501" w:name="_Toc265228375"/>
      <w:r/>
      <w:bookmarkStart w:id="502" w:name="_Toc195842902"/>
      <w:r/>
      <w:bookmarkStart w:id="503" w:name="_Toc151190164"/>
      <w:r/>
      <w:bookmarkStart w:id="504" w:name="_Toc150509288"/>
      <w:r/>
      <w:bookmarkStart w:id="505" w:name="_Toc305158879"/>
      <w:r/>
      <w:bookmarkStart w:id="506" w:name="_Toc164608806"/>
      <w:r/>
      <w:bookmarkStart w:id="507" w:name="_Toc150774637"/>
      <w:r/>
      <w:bookmarkStart w:id="508" w:name="_Toc151193851"/>
      <w:r/>
      <w:bookmarkStart w:id="509" w:name="_Toc305158805"/>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1"/>
        <w:ind w:firstLine="562"/>
        <w:spacing w:before="0" w:line="360" w:lineRule="auto"/>
        <w:rPr>
          <w:rFonts w:hint="eastAsia" w:ascii="宋体" w:hAnsi="宋体" w:eastAsia="宋体" w:cs="宋体"/>
          <w:color w:val="000000"/>
          <w:sz w:val="28"/>
          <w:highlight w:val="none"/>
        </w:rPr>
      </w:pPr>
      <w:r/>
      <w:bookmarkStart w:id="510" w:name="_Toc195842903"/>
      <w:r/>
      <w:bookmarkStart w:id="511" w:name="_Toc150509289"/>
      <w:r/>
      <w:bookmarkStart w:id="512" w:name="_Toc226337234"/>
      <w:r/>
      <w:bookmarkStart w:id="513" w:name="_Toc305158880"/>
      <w:r/>
      <w:bookmarkStart w:id="514" w:name="_Toc226965811"/>
      <w:r/>
      <w:bookmarkStart w:id="515" w:name="_Toc127151538"/>
      <w:r/>
      <w:bookmarkStart w:id="516" w:name="_Toc150480776"/>
      <w:r/>
      <w:bookmarkStart w:id="517" w:name="_Toc150774638"/>
      <w:r/>
      <w:bookmarkStart w:id="518" w:name="_Toc226965728"/>
      <w:r/>
      <w:bookmarkStart w:id="519" w:name="_Toc520356163"/>
      <w:r/>
      <w:bookmarkStart w:id="520" w:name="_Toc305158806"/>
      <w:r/>
      <w:bookmarkStart w:id="521" w:name="_Toc226309782"/>
      <w:r/>
      <w:bookmarkStart w:id="522" w:name="_Toc151190165"/>
      <w:r/>
      <w:bookmarkStart w:id="523" w:name="_Toc142311040"/>
      <w:r/>
      <w:bookmarkStart w:id="524" w:name="_Toc151193780"/>
      <w:r/>
      <w:bookmarkStart w:id="525" w:name="_Toc151193708"/>
      <w:r/>
      <w:bookmarkStart w:id="526" w:name="_Toc265228376"/>
      <w:r/>
      <w:bookmarkStart w:id="527" w:name="_Toc151193926"/>
      <w:r/>
      <w:bookmarkStart w:id="528" w:name="_Toc151193852"/>
      <w:r/>
      <w:bookmarkStart w:id="529" w:name="_Toc150774743"/>
      <w:r/>
      <w:bookmarkStart w:id="530" w:name="_Toc264969228"/>
      <w:r/>
      <w:bookmarkStart w:id="531" w:name="_Toc15119363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520356164"/>
      <w:r/>
      <w:bookmarkStart w:id="533" w:name="_Toc164229380"/>
      <w:r/>
      <w:bookmarkStart w:id="534" w:name="_Toc127161453"/>
      <w:r/>
      <w:bookmarkStart w:id="535" w:name="_Toc164351633"/>
      <w:r/>
      <w:bookmarkStart w:id="536" w:name="_Toc264969229"/>
      <w:r/>
      <w:bookmarkStart w:id="537" w:name="_Toc226337235"/>
      <w:r/>
      <w:bookmarkStart w:id="538" w:name="_Toc164229234"/>
      <w:r/>
      <w:bookmarkStart w:id="539" w:name="_Toc151193637"/>
      <w:r/>
      <w:bookmarkStart w:id="540" w:name="_Toc149720832"/>
      <w:r/>
      <w:bookmarkStart w:id="541" w:name="_Toc305158881"/>
      <w:r/>
      <w:bookmarkStart w:id="542" w:name="_Toc195842904"/>
      <w:r/>
      <w:bookmarkStart w:id="543" w:name="_Toc151193927"/>
      <w:r/>
      <w:bookmarkStart w:id="544" w:name="_Toc127151740"/>
      <w:r/>
      <w:bookmarkStart w:id="545" w:name="_Toc305158807"/>
      <w:r/>
      <w:bookmarkStart w:id="546" w:name="_Toc151193853"/>
      <w:r/>
      <w:bookmarkStart w:id="547" w:name="_Toc150774639"/>
      <w:r/>
      <w:bookmarkStart w:id="548" w:name="_Toc226309783"/>
      <w:r/>
      <w:bookmarkStart w:id="549" w:name="_Toc164608808"/>
      <w:r/>
      <w:bookmarkStart w:id="550" w:name="_Toc265228377"/>
      <w:r/>
      <w:bookmarkStart w:id="551" w:name="_Toc127151539"/>
      <w:r/>
      <w:bookmarkStart w:id="552" w:name="_Toc150509290"/>
      <w:r/>
      <w:bookmarkStart w:id="553" w:name="_Toc151193781"/>
      <w:r/>
      <w:bookmarkStart w:id="554" w:name="_Toc164608653"/>
      <w:r/>
      <w:bookmarkStart w:id="555" w:name="_Toc226965812"/>
      <w:r/>
      <w:bookmarkStart w:id="556" w:name="_Toc151190166"/>
      <w:r/>
      <w:bookmarkStart w:id="557" w:name="_Toc150480777"/>
      <w:r/>
      <w:bookmarkStart w:id="558" w:name="_Toc226965729"/>
      <w:r/>
      <w:bookmarkStart w:id="559" w:name="_Toc142311041"/>
      <w:r/>
      <w:bookmarkStart w:id="560" w:name="_Toc150774744"/>
      <w:r/>
      <w:bookmarkStart w:id="561" w:name="_Toc151193709"/>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859"/>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85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85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85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85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859"/>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26337236"/>
      <w:r/>
      <w:bookmarkStart w:id="564" w:name="_Toc151193638"/>
      <w:r/>
      <w:bookmarkStart w:id="565" w:name="_Toc150509291"/>
      <w:r/>
      <w:bookmarkStart w:id="566" w:name="_Toc127151540"/>
      <w:r/>
      <w:bookmarkStart w:id="567" w:name="_Toc226965813"/>
      <w:r/>
      <w:bookmarkStart w:id="568" w:name="_Toc127161454"/>
      <w:r/>
      <w:bookmarkStart w:id="569" w:name="_Toc127151741"/>
      <w:r/>
      <w:bookmarkStart w:id="570" w:name="_Toc164608809"/>
      <w:r/>
      <w:bookmarkStart w:id="571" w:name="_Toc265228378"/>
      <w:r/>
      <w:bookmarkStart w:id="572" w:name="_Toc149720833"/>
      <w:r/>
      <w:bookmarkStart w:id="573" w:name="_Toc151193928"/>
      <w:r/>
      <w:bookmarkStart w:id="574" w:name="_Toc305158882"/>
      <w:r/>
      <w:bookmarkStart w:id="575" w:name="_Toc151193782"/>
      <w:r/>
      <w:bookmarkStart w:id="576" w:name="_Toc264969230"/>
      <w:r/>
      <w:bookmarkStart w:id="577" w:name="_Toc226309784"/>
      <w:r/>
      <w:bookmarkStart w:id="578" w:name="_Toc164229381"/>
      <w:r/>
      <w:bookmarkStart w:id="579" w:name="_Toc164229235"/>
      <w:r/>
      <w:bookmarkStart w:id="580" w:name="_Toc226965730"/>
      <w:r/>
      <w:bookmarkStart w:id="581" w:name="_Toc195842905"/>
      <w:r/>
      <w:bookmarkStart w:id="582" w:name="_Toc150480778"/>
      <w:r/>
      <w:bookmarkStart w:id="583" w:name="_Toc164351634"/>
      <w:r/>
      <w:bookmarkStart w:id="584" w:name="_Toc151193710"/>
      <w:r/>
      <w:bookmarkStart w:id="585" w:name="_Toc151193854"/>
      <w:r/>
      <w:bookmarkStart w:id="586" w:name="_Toc142311042"/>
      <w:r/>
      <w:bookmarkStart w:id="587" w:name="_Toc305158808"/>
      <w:r/>
      <w:bookmarkStart w:id="588" w:name="_Toc151190167"/>
      <w:r/>
      <w:bookmarkStart w:id="589" w:name="_Toc164608654"/>
      <w:r/>
      <w:bookmarkStart w:id="590" w:name="_Toc150774745"/>
      <w:r/>
      <w:bookmarkStart w:id="591" w:name="_Toc150774640"/>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859"/>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61"/>
        <w:ind w:firstLine="562"/>
        <w:spacing w:before="0" w:line="360" w:lineRule="auto"/>
        <w:rPr>
          <w:rFonts w:hint="eastAsia" w:ascii="宋体" w:hAnsi="宋体" w:eastAsia="宋体" w:cs="宋体"/>
          <w:color w:val="000000"/>
          <w:sz w:val="28"/>
          <w:highlight w:val="none"/>
        </w:rPr>
      </w:pPr>
      <w:r/>
      <w:bookmarkStart w:id="594" w:name="_Toc150774645"/>
      <w:r/>
      <w:bookmarkStart w:id="595" w:name="_Toc226965735"/>
      <w:r/>
      <w:bookmarkStart w:id="596" w:name="_Toc150509296"/>
      <w:r/>
      <w:bookmarkStart w:id="597" w:name="_Toc150480783"/>
      <w:r/>
      <w:bookmarkStart w:id="598" w:name="_Toc151193715"/>
      <w:r/>
      <w:bookmarkStart w:id="599" w:name="_Toc195842910"/>
      <w:r/>
      <w:bookmarkStart w:id="600" w:name="_Toc151193933"/>
      <w:r/>
      <w:bookmarkStart w:id="601" w:name="_Toc151193859"/>
      <w:r/>
      <w:bookmarkStart w:id="602" w:name="_Toc264969235"/>
      <w:r/>
      <w:bookmarkStart w:id="603" w:name="_Toc265228383"/>
      <w:r/>
      <w:bookmarkStart w:id="604" w:name="_Toc226965818"/>
      <w:r/>
      <w:bookmarkStart w:id="605" w:name="_Toc305158813"/>
      <w:r/>
      <w:bookmarkStart w:id="606" w:name="_Toc151193787"/>
      <w:r/>
      <w:bookmarkStart w:id="607" w:name="_Toc305158887"/>
      <w:r/>
      <w:bookmarkStart w:id="608" w:name="_Toc150774750"/>
      <w:r/>
      <w:bookmarkStart w:id="609" w:name="_Toc127151545"/>
      <w:r/>
      <w:bookmarkStart w:id="610" w:name="_Toc226337241"/>
      <w:r/>
      <w:bookmarkStart w:id="611" w:name="_Toc142311047"/>
      <w:r/>
      <w:bookmarkStart w:id="612" w:name="_Toc226309789"/>
      <w:r/>
      <w:bookmarkStart w:id="613" w:name="_Toc151193643"/>
      <w:r/>
      <w:bookmarkStart w:id="614" w:name="_Toc151190172"/>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164229242"/>
      <w:r/>
      <w:bookmarkStart w:id="617" w:name="_Toc151193861"/>
      <w:r/>
      <w:bookmarkStart w:id="618" w:name="_Toc127151748"/>
      <w:r/>
      <w:bookmarkStart w:id="619" w:name="_Toc142311049"/>
      <w:r/>
      <w:bookmarkStart w:id="620" w:name="_Toc226965820"/>
      <w:r/>
      <w:bookmarkStart w:id="621" w:name="_Toc151193935"/>
      <w:r/>
      <w:bookmarkStart w:id="622" w:name="_Toc150774647"/>
      <w:r/>
      <w:bookmarkStart w:id="623" w:name="_Toc151193645"/>
      <w:r/>
      <w:bookmarkStart w:id="624" w:name="_Toc150509298"/>
      <w:r/>
      <w:bookmarkStart w:id="625" w:name="_Toc226337243"/>
      <w:r/>
      <w:bookmarkStart w:id="626" w:name="_Toc264969237"/>
      <w:r/>
      <w:bookmarkStart w:id="627" w:name="_Toc127161461"/>
      <w:r/>
      <w:bookmarkStart w:id="628" w:name="_Toc164351641"/>
      <w:r/>
      <w:bookmarkStart w:id="629" w:name="_Toc226965737"/>
      <w:r/>
      <w:bookmarkStart w:id="630" w:name="_Toc226309791"/>
      <w:r/>
      <w:bookmarkStart w:id="631" w:name="_Toc164229388"/>
      <w:r/>
      <w:bookmarkStart w:id="632" w:name="_Toc150774752"/>
      <w:r/>
      <w:bookmarkStart w:id="633" w:name="_Toc151193717"/>
      <w:r/>
      <w:bookmarkStart w:id="634" w:name="_Toc265228385"/>
      <w:r/>
      <w:bookmarkStart w:id="635" w:name="_Toc149720840"/>
      <w:r/>
      <w:bookmarkStart w:id="636" w:name="_Toc164608816"/>
      <w:r/>
      <w:bookmarkStart w:id="637" w:name="_Toc195842912"/>
      <w:r/>
      <w:bookmarkStart w:id="638" w:name="_Toc151190174"/>
      <w:r/>
      <w:bookmarkStart w:id="639" w:name="_Toc127151547"/>
      <w:r/>
      <w:bookmarkStart w:id="640" w:name="_Toc151193789"/>
      <w:r/>
      <w:bookmarkStart w:id="641" w:name="_Toc150480785"/>
      <w:r/>
      <w:bookmarkStart w:id="642" w:name="_Toc305158815"/>
      <w:r/>
      <w:bookmarkStart w:id="643" w:name="_Toc164608661"/>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1193937"/>
      <w:r/>
      <w:bookmarkStart w:id="645" w:name="_Toc151190176"/>
      <w:r/>
      <w:bookmarkStart w:id="646" w:name="_Toc195842914"/>
      <w:r/>
      <w:bookmarkStart w:id="647" w:name="_Toc305158817"/>
      <w:r/>
      <w:bookmarkStart w:id="648" w:name="_Toc164608663"/>
      <w:r/>
      <w:bookmarkStart w:id="649" w:name="_Toc265228387"/>
      <w:r/>
      <w:bookmarkStart w:id="650" w:name="_Toc164229244"/>
      <w:r/>
      <w:bookmarkStart w:id="651" w:name="_Toc151193719"/>
      <w:r/>
      <w:bookmarkStart w:id="652" w:name="_Toc520356176"/>
      <w:r/>
      <w:bookmarkStart w:id="653" w:name="_Ref467306425"/>
      <w:r/>
      <w:bookmarkStart w:id="654" w:name="_Ref467307090"/>
      <w:r/>
      <w:bookmarkStart w:id="655" w:name="_Toc150480787"/>
      <w:r/>
      <w:bookmarkStart w:id="656" w:name="_Toc150774754"/>
      <w:r/>
      <w:bookmarkStart w:id="657" w:name="_Toc142311051"/>
      <w:r/>
      <w:bookmarkStart w:id="658" w:name="_Toc149720842"/>
      <w:r/>
      <w:bookmarkStart w:id="659" w:name="_Toc226309793"/>
      <w:r/>
      <w:bookmarkStart w:id="660" w:name="_Toc127151750"/>
      <w:r/>
      <w:bookmarkStart w:id="661" w:name="_Toc305158891"/>
      <w:r/>
      <w:bookmarkStart w:id="662" w:name="_Toc226965822"/>
      <w:r/>
      <w:bookmarkStart w:id="663" w:name="_Toc164229390"/>
      <w:r/>
      <w:bookmarkStart w:id="664" w:name="_Toc127161463"/>
      <w:r/>
      <w:bookmarkStart w:id="665" w:name="_Toc226965739"/>
      <w:r/>
      <w:bookmarkStart w:id="666" w:name="_Toc151193647"/>
      <w:r/>
      <w:bookmarkStart w:id="667" w:name="_Toc264969239"/>
      <w:r/>
      <w:bookmarkStart w:id="668" w:name="_Toc164351643"/>
      <w:r/>
      <w:bookmarkStart w:id="669" w:name="_Toc150774649"/>
      <w:r/>
      <w:bookmarkStart w:id="670" w:name="_Toc151193863"/>
      <w:r/>
      <w:bookmarkStart w:id="671" w:name="_Toc150509300"/>
      <w:r/>
      <w:bookmarkStart w:id="672" w:name="_Toc151193791"/>
      <w:r/>
      <w:bookmarkStart w:id="673" w:name="_Toc164608818"/>
      <w:r/>
      <w:bookmarkStart w:id="674" w:name="_Toc226337245"/>
      <w:r/>
      <w:bookmarkStart w:id="675" w:name="_Toc127151549"/>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859"/>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480788"/>
      <w:r/>
      <w:bookmarkStart w:id="677" w:name="_Toc164608664"/>
      <w:r/>
      <w:bookmarkStart w:id="678" w:name="_Ref467307204"/>
      <w:r/>
      <w:bookmarkStart w:id="679" w:name="_Ref467307062"/>
      <w:r/>
      <w:bookmarkStart w:id="680" w:name="_Toc226337246"/>
      <w:r/>
      <w:bookmarkStart w:id="681" w:name="_Toc149720843"/>
      <w:r/>
      <w:bookmarkStart w:id="682" w:name="_Toc164351644"/>
      <w:r/>
      <w:bookmarkStart w:id="683" w:name="_Toc164229391"/>
      <w:r/>
      <w:bookmarkStart w:id="684" w:name="_Toc195842915"/>
      <w:r/>
      <w:bookmarkStart w:id="685" w:name="_Toc151193720"/>
      <w:r/>
      <w:bookmarkStart w:id="686" w:name="_Toc305158818"/>
      <w:r/>
      <w:bookmarkStart w:id="687" w:name="_Toc127151751"/>
      <w:r/>
      <w:bookmarkStart w:id="688" w:name="_Toc226965823"/>
      <w:r/>
      <w:bookmarkStart w:id="689" w:name="_Toc164608819"/>
      <w:r/>
      <w:bookmarkStart w:id="690" w:name="_Ref467306377"/>
      <w:r/>
      <w:bookmarkStart w:id="691" w:name="_Toc151193648"/>
      <w:r/>
      <w:bookmarkStart w:id="692" w:name="_Toc127161464"/>
      <w:r/>
      <w:bookmarkStart w:id="693" w:name="_Toc150774755"/>
      <w:r/>
      <w:bookmarkStart w:id="694" w:name="_Toc142311052"/>
      <w:r/>
      <w:bookmarkStart w:id="695" w:name="_Toc226965740"/>
      <w:r/>
      <w:bookmarkStart w:id="696" w:name="_Toc520356175"/>
      <w:r/>
      <w:bookmarkStart w:id="697" w:name="_Toc151193938"/>
      <w:r/>
      <w:bookmarkStart w:id="698" w:name="_Toc150509301"/>
      <w:r/>
      <w:bookmarkStart w:id="699" w:name="_Toc164229245"/>
      <w:r/>
      <w:bookmarkStart w:id="700" w:name="_Toc264969240"/>
      <w:r/>
      <w:bookmarkStart w:id="701" w:name="_Toc150774650"/>
      <w:r/>
      <w:bookmarkStart w:id="702" w:name="_Toc151190177"/>
      <w:r/>
      <w:bookmarkStart w:id="703" w:name="_Toc265228388"/>
      <w:r/>
      <w:bookmarkStart w:id="704" w:name="_Toc305158892"/>
      <w:r/>
      <w:bookmarkStart w:id="705" w:name="_Toc127151550"/>
      <w:r/>
      <w:bookmarkStart w:id="706" w:name="_Toc151193792"/>
      <w:r/>
      <w:bookmarkStart w:id="707" w:name="_Toc151193864"/>
      <w:r/>
      <w:bookmarkStart w:id="708" w:name="_Toc226309794"/>
      <w:r/>
      <w:bookmarkStart w:id="709" w:name="_Ref467306978"/>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859"/>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935"/>
          <w:rFonts w:hint="eastAsia" w:ascii="宋体" w:hAnsi="宋体" w:cs="宋体"/>
          <w:color w:val="000000"/>
          <w:highlight w:val="none"/>
        </w:rPr>
        <w:t xml:space="preserve">http://gk</w:t>
      </w:r>
      <w:bookmarkStart w:id="710" w:name="_Hlt100654014"/>
      <w:r>
        <w:rPr>
          <w:rStyle w:val="935"/>
          <w:rFonts w:hint="eastAsia" w:ascii="宋体" w:hAnsi="宋体" w:cs="宋体"/>
          <w:color w:val="000000"/>
          <w:highlight w:val="none"/>
        </w:rPr>
        <w:t xml:space="preserve">s</w:t>
      </w:r>
      <w:bookmarkEnd w:id="710"/>
      <w:r>
        <w:rPr>
          <w:rStyle w:val="935"/>
          <w:rFonts w:hint="eastAsia" w:ascii="宋体" w:hAnsi="宋体" w:cs="宋体"/>
          <w:color w:val="000000"/>
          <w:highlight w:val="none"/>
        </w:rPr>
        <w:t xml:space="preserve">.m</w:t>
      </w:r>
      <w:bookmarkStart w:id="711" w:name="_Hlt100653994"/>
      <w:r/>
      <w:bookmarkStart w:id="712" w:name="_Hlt100653993"/>
      <w:r>
        <w:rPr>
          <w:rStyle w:val="935"/>
          <w:rFonts w:hint="eastAsia" w:ascii="宋体" w:hAnsi="宋体" w:cs="宋体"/>
          <w:color w:val="000000"/>
          <w:highlight w:val="none"/>
        </w:rPr>
        <w:t xml:space="preserve">o</w:t>
      </w:r>
      <w:bookmarkEnd w:id="711"/>
      <w:r/>
      <w:bookmarkEnd w:id="712"/>
      <w:r>
        <w:rPr>
          <w:rStyle w:val="93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859"/>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9"/>
        <w:jc w:val="center"/>
        <w:spacing w:line="360" w:lineRule="auto"/>
        <w:rPr>
          <w:rFonts w:hint="eastAsia" w:ascii="宋体" w:hAnsi="宋体" w:cs="宋体"/>
          <w:b/>
          <w:color w:val="000000"/>
          <w:sz w:val="36"/>
          <w:szCs w:val="36"/>
          <w:highlight w:val="none"/>
        </w:rPr>
        <w:outlineLvl w:val="0"/>
      </w:pPr>
      <w:r/>
      <w:bookmarkStart w:id="713" w:name="_Toc264969244"/>
      <w:r/>
      <w:bookmarkStart w:id="714" w:name="_Toc305158822"/>
      <w:r/>
      <w:bookmarkStart w:id="715" w:name="_Toc353825544"/>
      <w:r/>
      <w:bookmarkStart w:id="716" w:name="_Toc353873934"/>
      <w:r/>
      <w:bookmarkStart w:id="717" w:name="_Toc150774759"/>
      <w:r/>
      <w:bookmarkStart w:id="718" w:name="_Toc127151554"/>
      <w:r/>
      <w:bookmarkStart w:id="719" w:name="_Toc226965827"/>
      <w:r/>
      <w:bookmarkStart w:id="720" w:name="_Toc265228392"/>
      <w:r/>
      <w:bookmarkStart w:id="721" w:name="_Toc305158896"/>
      <w:r/>
      <w:bookmarkStart w:id="722" w:name="_Toc353873664"/>
      <w:r/>
      <w:bookmarkStart w:id="723" w:name="_Toc150480792"/>
      <w:r/>
      <w:bookmarkStart w:id="724" w:name="_Toc142311056"/>
      <w:r/>
      <w:bookmarkStart w:id="725" w:name="_Toc226337250"/>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859"/>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859"/>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859"/>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859"/>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59"/>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859"/>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85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85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85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85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54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859"/>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226965858"/>
      <w:r/>
      <w:bookmarkStart w:id="732" w:name="_Toc127161490"/>
      <w:r/>
      <w:bookmarkStart w:id="733" w:name="_Toc127151779"/>
      <w:r/>
      <w:bookmarkStart w:id="734"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59"/>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859"/>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859"/>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305158809"/>
      <w:r/>
      <w:bookmarkStart w:id="738" w:name="_Toc127161455"/>
      <w:r/>
      <w:bookmarkStart w:id="739" w:name="_Toc226965731"/>
      <w:r/>
      <w:bookmarkStart w:id="740" w:name="_Toc151193711"/>
      <w:r/>
      <w:bookmarkStart w:id="741" w:name="_Toc164351635"/>
      <w:r/>
      <w:bookmarkStart w:id="742" w:name="_Toc151190168"/>
      <w:r/>
      <w:bookmarkStart w:id="743" w:name="_Toc150774641"/>
      <w:r/>
      <w:bookmarkStart w:id="744" w:name="_Toc164608655"/>
      <w:r/>
      <w:bookmarkStart w:id="745" w:name="_Toc127151742"/>
      <w:r/>
      <w:bookmarkStart w:id="746" w:name="_Toc151193855"/>
      <w:r/>
      <w:bookmarkStart w:id="747" w:name="_Toc264969231"/>
      <w:r/>
      <w:bookmarkStart w:id="748" w:name="_Toc150480779"/>
      <w:r/>
      <w:bookmarkStart w:id="749" w:name="_Toc265228379"/>
      <w:r/>
      <w:bookmarkStart w:id="750" w:name="_Toc150509292"/>
      <w:r/>
      <w:bookmarkStart w:id="751" w:name="_Toc164229382"/>
      <w:r/>
      <w:bookmarkStart w:id="752" w:name="_Toc226965814"/>
      <w:r/>
      <w:bookmarkStart w:id="753" w:name="_Toc127151541"/>
      <w:r/>
      <w:bookmarkStart w:id="754" w:name="_Toc226309785"/>
      <w:r/>
      <w:bookmarkStart w:id="755" w:name="_Toc151193783"/>
      <w:r/>
      <w:bookmarkStart w:id="756" w:name="_Toc142311043"/>
      <w:r/>
      <w:bookmarkStart w:id="757" w:name="_Toc151193639"/>
      <w:r/>
      <w:bookmarkStart w:id="758" w:name="_Toc149720834"/>
      <w:r/>
      <w:bookmarkStart w:id="759" w:name="_Toc226337237"/>
      <w:r/>
      <w:bookmarkStart w:id="760" w:name="_Toc164229236"/>
      <w:r/>
      <w:bookmarkStart w:id="761" w:name="_Toc195842906"/>
      <w:r/>
      <w:bookmarkStart w:id="762" w:name="_Toc150774746"/>
      <w:r/>
      <w:bookmarkStart w:id="763" w:name="_Toc305158883"/>
      <w:r/>
      <w:bookmarkStart w:id="764" w:name="_Toc151193929"/>
      <w:r/>
      <w:bookmarkStart w:id="765" w:name="_Toc164608810"/>
      <w:r/>
      <w:bookmarkStart w:id="766" w:name="_Toc353873941"/>
      <w:r/>
      <w:bookmarkStart w:id="767" w:name="_Toc353825551"/>
      <w:r/>
      <w:bookmarkStart w:id="768" w:name="_Toc264969245"/>
      <w:r/>
      <w:bookmarkStart w:id="769" w:name="_Toc265228393"/>
      <w:r/>
      <w:bookmarkStart w:id="770" w:name="_Toc142311057"/>
      <w:r/>
      <w:bookmarkStart w:id="771" w:name="_Toc127151555"/>
      <w:r/>
      <w:bookmarkStart w:id="772" w:name="_Toc195842920"/>
      <w:r/>
      <w:bookmarkStart w:id="773" w:name="_Toc150480793"/>
      <w:r/>
      <w:bookmarkStart w:id="774" w:name="_Toc305158823"/>
      <w:r/>
      <w:bookmarkStart w:id="775" w:name="_Toc226965828"/>
      <w:r/>
      <w:bookmarkStart w:id="776" w:name="_Toc305158897"/>
      <w:r/>
      <w:bookmarkStart w:id="777" w:name="_Toc353873935"/>
      <w:r/>
      <w:bookmarkStart w:id="778" w:name="_Toc226337251"/>
      <w:r/>
      <w:bookmarkStart w:id="779" w:name="_Toc353825545"/>
      <w:r/>
      <w:bookmarkStart w:id="780" w:name="_Toc150774760"/>
      <w:r/>
      <w:bookmarkStart w:id="781" w:name="_Toc35387366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859"/>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859"/>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5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85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85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w:t>
            </w:r>
            <w:r>
              <w:rPr>
                <w:rFonts w:hint="eastAsia" w:ascii="宋体" w:hAnsi="宋体" w:cs="宋体"/>
                <w:color w:val="000000"/>
                <w:sz w:val="24"/>
                <w:highlight w:val="none"/>
              </w:rPr>
              <w:t xml:space="preserve">、授权委托书</w:t>
            </w:r>
            <w:r>
              <w:rPr>
                <w:rFonts w:hint="eastAsia" w:ascii="宋体" w:hAnsi="宋体" w:cs="宋体"/>
                <w:color w:val="000000"/>
                <w:sz w:val="24"/>
                <w:highlight w:val="none"/>
              </w:rPr>
              <w:t xml:space="preserve">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w:t>
            </w:r>
            <w:r>
              <w:rPr>
                <w:rFonts w:hint="eastAsia" w:ascii="宋体" w:hAnsi="宋体" w:cs="宋体"/>
                <w:color w:val="000000"/>
                <w:sz w:val="24"/>
                <w:highlight w:val="none"/>
              </w:rPr>
              <w:t xml:space="preserve">、授权委托书</w:t>
            </w:r>
            <w:r>
              <w:rPr>
                <w:rFonts w:hint="eastAsia" w:ascii="宋体" w:hAnsi="宋体" w:cs="宋体"/>
                <w:color w:val="000000"/>
                <w:sz w:val="24"/>
                <w:highlight w:val="none"/>
              </w:rPr>
              <w:t xml:space="preserve">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w:t>
            </w:r>
            <w:r>
              <w:rPr>
                <w:rFonts w:hint="eastAsia" w:ascii="宋体" w:hAnsi="宋体" w:cs="宋体"/>
                <w:color w:val="000000"/>
                <w:sz w:val="24"/>
                <w:highlight w:val="none"/>
              </w:rPr>
              <w:t xml:space="preserve">项目/采购包</w:t>
            </w:r>
            <w:r>
              <w:rPr>
                <w:rFonts w:hint="eastAsia" w:ascii="宋体" w:hAnsi="宋体" w:cs="宋体"/>
                <w:color w:val="000000"/>
                <w:sz w:val="24"/>
                <w:highlight w:val="none"/>
              </w:rPr>
              <w:t xml:space="preserve">预算金额或者</w:t>
            </w:r>
            <w:r>
              <w:rPr>
                <w:rFonts w:hint="eastAsia" w:ascii="宋体" w:hAnsi="宋体" w:cs="宋体"/>
                <w:color w:val="000000"/>
                <w:sz w:val="24"/>
                <w:highlight w:val="none"/>
              </w:rPr>
              <w:t xml:space="preserve">项目/采购包</w:t>
            </w:r>
            <w:r>
              <w:rPr>
                <w:rFonts w:hint="eastAsia" w:ascii="宋体" w:hAnsi="宋体" w:cs="宋体"/>
                <w:color w:val="000000"/>
                <w:sz w:val="24"/>
                <w:highlight w:val="none"/>
              </w:rPr>
              <w:t xml:space="preserve">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859"/>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85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12"/>
        </w:numPr>
        <w:ind w:left="0" w:firstLine="480"/>
        <w:keepLines w:val="0"/>
        <w:keepNext w:val="0"/>
        <w:pageBreakBefore w:val="0"/>
        <w:spacing w:line="360" w:lineRule="auto"/>
        <w:widowControl w:val="off"/>
        <w:tabs>
          <w:tab w:val="left" w:pos="0" w:leader="none"/>
          <w:tab w:val="left" w:pos="567" w:leader="none"/>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评审过程中出现下列情形之一的，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应当启动异常低价投标审查程序：</w:t>
      </w:r>
      <w:r>
        <w:rPr>
          <w:rFonts w:hint="eastAsia" w:ascii="宋体" w:hAnsi="宋体" w:eastAsia="宋体" w:cs="宋体"/>
          <w:color w:val="000000"/>
          <w:sz w:val="24"/>
          <w:highlight w:val="none"/>
        </w:rPr>
      </w:r>
      <w:r/>
    </w:p>
    <w:p>
      <w:pPr>
        <w:pStyle w:val="859"/>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投标报价低于采购项目预算50%的，即投标报价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采购项目预算×50%；</w:t>
      </w:r>
      <w:r>
        <w:rPr>
          <w:rFonts w:hint="eastAsia" w:ascii="宋体" w:hAnsi="宋体" w:eastAsia="宋体" w:cs="宋体"/>
          <w:color w:val="000000"/>
          <w:sz w:val="24"/>
          <w:highlight w:val="none"/>
        </w:rPr>
      </w:r>
      <w:r/>
    </w:p>
    <w:p>
      <w:pPr>
        <w:pStyle w:val="859"/>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投标报价低于采购项目最高限价45%的，即</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采购项目最高限价×45%；</w:t>
      </w:r>
      <w:r>
        <w:rPr>
          <w:rFonts w:hint="eastAsia" w:ascii="宋体" w:hAnsi="宋体" w:eastAsia="宋体" w:cs="宋体"/>
          <w:color w:val="000000"/>
          <w:sz w:val="24"/>
          <w:highlight w:val="none"/>
        </w:rPr>
      </w:r>
      <w:r/>
    </w:p>
    <w:p>
      <w:pPr>
        <w:pStyle w:val="859"/>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认定的供应商报价过低、有可能影响产品质量或者不能诚信履约的其他情形。</w:t>
      </w:r>
      <w:r>
        <w:rPr>
          <w:rFonts w:hint="eastAsia" w:ascii="宋体" w:hAnsi="宋体" w:eastAsia="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启动异常低价</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审查后，</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价格作出解释，由</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结合同类产品在主要电商平台的价格、该行业当地薪资水平等情况，依据专业经验对供应商报价合理性进行判断。</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供应商不提供书面说明、证明材料，或者提供的书面说明、证明材料不能证明其报价合理性的，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应当将其作为无效</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处理。审查相关情况应当在评审报告中进行记录。</w:t>
      </w:r>
      <w:r>
        <w:rPr>
          <w:rFonts w:hint="eastAsia" w:ascii="宋体" w:hAnsi="宋体" w:eastAsia="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85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64608815"/>
      <w:r/>
      <w:bookmarkStart w:id="784" w:name="_Toc151193860"/>
      <w:r/>
      <w:bookmarkStart w:id="785" w:name="_Toc151190173"/>
      <w:r/>
      <w:bookmarkStart w:id="786" w:name="_Toc150509297"/>
      <w:r/>
      <w:bookmarkStart w:id="787" w:name="_Toc520356170"/>
      <w:r/>
      <w:bookmarkStart w:id="788" w:name="_Toc164608660"/>
      <w:r/>
      <w:bookmarkStart w:id="789" w:name="_Toc142311048"/>
      <w:r/>
      <w:bookmarkStart w:id="790" w:name="_Toc151193934"/>
      <w:r/>
      <w:bookmarkStart w:id="791" w:name="_Toc150774751"/>
      <w:r/>
      <w:bookmarkStart w:id="792" w:name="_Ref467307010"/>
      <w:r/>
      <w:bookmarkStart w:id="793" w:name="_Toc150774646"/>
      <w:r/>
      <w:bookmarkStart w:id="794" w:name="_Toc164229241"/>
      <w:r/>
      <w:bookmarkStart w:id="795" w:name="_Toc226965819"/>
      <w:r/>
      <w:bookmarkStart w:id="796" w:name="_Toc226965736"/>
      <w:r/>
      <w:bookmarkStart w:id="797" w:name="_Toc195842911"/>
      <w:r/>
      <w:bookmarkStart w:id="798" w:name="_Toc150480784"/>
      <w:r/>
      <w:bookmarkStart w:id="799" w:name="_Toc226309790"/>
      <w:r/>
      <w:bookmarkStart w:id="800" w:name="_Toc305158888"/>
      <w:r/>
      <w:bookmarkStart w:id="801" w:name="_Toc127151546"/>
      <w:r/>
      <w:bookmarkStart w:id="802" w:name="_Toc151193716"/>
      <w:r/>
      <w:bookmarkStart w:id="803" w:name="_Toc264969236"/>
      <w:r/>
      <w:bookmarkStart w:id="804" w:name="_Toc149720839"/>
      <w:r/>
      <w:bookmarkStart w:id="805" w:name="_Toc151193644"/>
      <w:r/>
      <w:bookmarkStart w:id="806" w:name="_Toc226337242"/>
      <w:r/>
      <w:bookmarkStart w:id="807" w:name="_Toc127151747"/>
      <w:r/>
      <w:bookmarkStart w:id="808" w:name="_Toc265228384"/>
      <w:r/>
      <w:bookmarkStart w:id="809" w:name="_Toc305158814"/>
      <w:r/>
      <w:bookmarkStart w:id="810" w:name="_Toc127161460"/>
      <w:r/>
      <w:bookmarkStart w:id="811" w:name="_Toc151193788"/>
      <w:r/>
      <w:bookmarkStart w:id="812" w:name="_Toc164229387"/>
      <w:r/>
      <w:bookmarkStart w:id="813" w:name="_Toc164351640"/>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89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89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85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859"/>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85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859"/>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27"/>
        <w:gridCol w:w="765"/>
        <w:gridCol w:w="4050"/>
        <w:gridCol w:w="2577"/>
      </w:tblGrid>
      <w:tr>
        <w:trPr>
          <w:trHeight w:val="90"/>
        </w:trPr>
        <w:tc>
          <w:tcPr>
            <w:tcW w:w="356" w:type="dxa"/>
            <w:vAlign w:val="center"/>
            <w:textDirection w:val="lrTb"/>
            <w:noWrap w:val="false"/>
          </w:tcPr>
          <w:p>
            <w:pPr>
              <w:pStyle w:val="85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661" w:type="dxa"/>
            <w:vAlign w:val="center"/>
            <w:textDirection w:val="lrTb"/>
            <w:noWrap w:val="false"/>
          </w:tcPr>
          <w:p>
            <w:pPr>
              <w:pStyle w:val="85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412" w:type="dxa"/>
            <w:vAlign w:val="center"/>
            <w:textDirection w:val="lrTb"/>
            <w:noWrap w:val="false"/>
          </w:tcPr>
          <w:p>
            <w:pPr>
              <w:pStyle w:val="85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181" w:type="dxa"/>
            <w:vAlign w:val="center"/>
            <w:textDirection w:val="lrTb"/>
            <w:noWrap w:val="false"/>
          </w:tcPr>
          <w:p>
            <w:pPr>
              <w:pStyle w:val="85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388" w:type="dxa"/>
            <w:vAlign w:val="center"/>
            <w:textDirection w:val="lrTb"/>
            <w:noWrap w:val="false"/>
          </w:tcPr>
          <w:p>
            <w:pPr>
              <w:pStyle w:val="1104"/>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90"/>
        </w:trPr>
        <w:tc>
          <w:tcPr>
            <w:tcW w:w="356" w:type="dxa"/>
            <w:vAlign w:val="center"/>
            <w:textDirection w:val="lrTb"/>
            <w:noWrap w:val="false"/>
          </w:tcPr>
          <w:p>
            <w:pPr>
              <w:pStyle w:val="859"/>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661" w:type="dxa"/>
            <w:vAlign w:val="center"/>
            <w:textDirection w:val="lrTb"/>
            <w:noWrap w:val="false"/>
          </w:tcPr>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412" w:type="dxa"/>
            <w:vAlign w:val="center"/>
            <w:textDirection w:val="lrTb"/>
            <w:noWrap w:val="false"/>
          </w:tcPr>
          <w:p>
            <w:pPr>
              <w:pStyle w:val="859"/>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2181" w:type="dxa"/>
            <w:vAlign w:val="center"/>
            <w:textDirection w:val="lrTb"/>
            <w:noWrap w:val="false"/>
          </w:tcPr>
          <w:p>
            <w:pPr>
              <w:pStyle w:val="8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即投标优惠率最高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的投标</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8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评标基准价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1-投标优惠率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85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szCs w:val="24"/>
                <w:highlight w:val="none"/>
              </w:rPr>
            </w:r>
            <w:r/>
          </w:p>
        </w:tc>
      </w:tr>
      <w:tr>
        <w:trPr>
          <w:trHeight w:val="90"/>
        </w:trPr>
        <w:tc>
          <w:tcPr>
            <w:tcW w:w="356" w:type="dxa"/>
            <w:vAlign w:val="center"/>
            <w:textDirection w:val="lrTb"/>
            <w:noWrap w:val="false"/>
          </w:tcPr>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61" w:type="dxa"/>
            <w:vAlign w:val="center"/>
            <w:textDirection w:val="lrTb"/>
            <w:noWrap w:val="false"/>
          </w:tcPr>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412" w:type="dxa"/>
            <w:vAlign w:val="center"/>
            <w:textDirection w:val="lrTb"/>
            <w:noWrap w:val="false"/>
          </w:tcPr>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81" w:type="dxa"/>
            <w:vAlign w:val="center"/>
            <w:textDirection w:val="lrTb"/>
            <w:noWrap w:val="false"/>
          </w:tcPr>
          <w:p>
            <w:pPr>
              <w:pStyle w:val="8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85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3"/>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2.1</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restart"/>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运营服务方案</w:t>
            </w:r>
            <w:r>
              <w:rPr>
                <w:rFonts w:hint="eastAsia" w:ascii="宋体" w:hAnsi="宋体" w:eastAsia="宋体" w:cs="宋体"/>
                <w:color w:val="000000"/>
                <w:sz w:val="24"/>
                <w:szCs w:val="24"/>
                <w:highlight w:val="none"/>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bidi="ar-SA"/>
              </w:rPr>
            </w:r>
            <w:r/>
          </w:p>
        </w:tc>
        <w:tc>
          <w:tcPr>
            <w:tcW w:w="2181" w:type="dxa"/>
            <w:vAlign w:val="center"/>
            <w:textDirection w:val="lrTb"/>
            <w:noWrap w:val="false"/>
          </w:tcPr>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由</w:t>
            </w:r>
            <w:r>
              <w:rPr>
                <w:rFonts w:hint="eastAsia" w:ascii="宋体" w:hAnsi="宋体" w:eastAsia="宋体" w:cs="宋体"/>
                <w:b w:val="0"/>
                <w:bCs/>
                <w:color w:val="000000"/>
                <w:sz w:val="24"/>
                <w:szCs w:val="24"/>
                <w:highlight w:val="none"/>
                <w:lang w:val="en-US" w:eastAsia="zh-CN"/>
              </w:rPr>
              <w:t xml:space="preserve">评标委员会结合</w:t>
            </w:r>
            <w:r>
              <w:rPr>
                <w:rFonts w:hint="eastAsia" w:ascii="宋体" w:hAnsi="宋体" w:eastAsia="宋体" w:cs="宋体"/>
                <w:color w:val="000000"/>
                <w:sz w:val="24"/>
                <w:szCs w:val="24"/>
                <w:highlight w:val="none"/>
              </w:rPr>
              <w:t xml:space="preserve">项目需求内容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根据投标人所提供</w:t>
            </w:r>
            <w:r>
              <w:rPr>
                <w:rFonts w:hint="eastAsia" w:ascii="宋体" w:hAnsi="宋体" w:eastAsia="宋体" w:cs="宋体"/>
                <w:b w:val="0"/>
                <w:bCs/>
                <w:color w:val="000000"/>
                <w:sz w:val="24"/>
                <w:szCs w:val="24"/>
                <w:highlight w:val="none"/>
                <w:lang w:val="en-US" w:eastAsia="zh-CN"/>
              </w:rPr>
              <w:t xml:space="preserve">的病理科新项目技术平台建设方案，评定方案是否完善可行、具体合理。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组织实施方案能够结合医院情况设置，方案完善可行、具体合理，得5分；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组织实施方案能够结合医院情况设置，方案较完善可行、较具体合理，得3分；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组织实施方案不能结合医院情况设置，方案不够完善、可行性一般，得1分；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未提供方案不得分。</w:t>
            </w:r>
            <w:r>
              <w:rPr>
                <w:rFonts w:hint="eastAsia" w:ascii="宋体" w:hAnsi="宋体" w:eastAsia="宋体" w:cs="宋体"/>
                <w:b w:val="0"/>
                <w:bCs/>
                <w:color w:val="000000"/>
                <w:sz w:val="24"/>
                <w:szCs w:val="24"/>
                <w:highlight w:val="none"/>
                <w:lang w:val="en-US" w:eastAsia="zh-CN" w:bidi="ar-SA"/>
              </w:rPr>
            </w:r>
            <w:r/>
          </w:p>
        </w:tc>
        <w:tc>
          <w:tcPr>
            <w:tcW w:w="1388" w:type="dxa"/>
            <w:vAlign w:val="center"/>
            <w:textDirection w:val="lrTb"/>
            <w:noWrap w:val="false"/>
          </w:tcPr>
          <w:p>
            <w:pPr>
              <w:pStyle w:val="85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3"/>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2.2</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continue"/>
            <w:textDirection w:val="lrTb"/>
            <w:noWrap w:val="false"/>
          </w:tcPr>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bidi="ar-SA"/>
              </w:rPr>
            </w:r>
            <w:r/>
          </w:p>
        </w:tc>
        <w:tc>
          <w:tcPr>
            <w:tcW w:w="2181" w:type="dxa"/>
            <w:vAlign w:val="center"/>
            <w:textDirection w:val="lrTb"/>
            <w:noWrap w:val="false"/>
          </w:tcPr>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由</w:t>
            </w:r>
            <w:r>
              <w:rPr>
                <w:rFonts w:hint="eastAsia" w:ascii="宋体" w:hAnsi="宋体" w:eastAsia="宋体" w:cs="宋体"/>
                <w:b w:val="0"/>
                <w:bCs/>
                <w:color w:val="000000"/>
                <w:sz w:val="24"/>
                <w:szCs w:val="24"/>
                <w:highlight w:val="none"/>
                <w:lang w:val="en-US" w:eastAsia="zh-CN"/>
              </w:rPr>
              <w:t xml:space="preserve">评标委员会</w:t>
            </w:r>
            <w:r>
              <w:rPr>
                <w:rFonts w:hint="eastAsia" w:ascii="宋体" w:hAnsi="宋体" w:eastAsia="宋体" w:cs="宋体"/>
                <w:b w:val="0"/>
                <w:bCs/>
                <w:color w:val="000000"/>
                <w:sz w:val="24"/>
                <w:szCs w:val="24"/>
                <w:highlight w:val="none"/>
                <w:lang w:val="en-US" w:eastAsia="zh-CN"/>
              </w:rPr>
              <w:t xml:space="preserve">结合</w:t>
            </w:r>
            <w:r>
              <w:rPr>
                <w:rFonts w:hint="eastAsia" w:ascii="宋体" w:hAnsi="宋体" w:eastAsia="宋体" w:cs="宋体"/>
                <w:color w:val="000000"/>
                <w:sz w:val="24"/>
                <w:szCs w:val="24"/>
                <w:highlight w:val="none"/>
              </w:rPr>
              <w:t xml:space="preserve">项目需求内容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根据投标人所提供</w:t>
            </w:r>
            <w:r>
              <w:rPr>
                <w:rFonts w:hint="eastAsia" w:ascii="宋体" w:hAnsi="宋体" w:eastAsia="宋体" w:cs="宋体"/>
                <w:b w:val="0"/>
                <w:bCs/>
                <w:color w:val="000000"/>
                <w:sz w:val="24"/>
                <w:szCs w:val="24"/>
                <w:highlight w:val="none"/>
                <w:lang w:val="en-US" w:eastAsia="zh-CN"/>
              </w:rPr>
              <w:t xml:space="preserve">的病理科人员培训及支持方案内容，评定方案是否完善可行、具体合理。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b w:val="0"/>
                <w:bCs/>
                <w:color w:val="000000"/>
                <w:sz w:val="24"/>
                <w:szCs w:val="24"/>
                <w:highlight w:val="none"/>
                <w:lang w:val="en-US" w:eastAsia="zh-CN" w:bidi="ar-SA"/>
              </w:rPr>
            </w:r>
            <w:r/>
          </w:p>
        </w:tc>
        <w:tc>
          <w:tcPr>
            <w:tcW w:w="1388" w:type="dxa"/>
            <w:vAlign w:val="center"/>
            <w:textDirection w:val="lrTb"/>
            <w:noWrap w:val="false"/>
          </w:tcPr>
          <w:p>
            <w:pPr>
              <w:pStyle w:val="85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0"/>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2.3</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continue"/>
            <w:textDirection w:val="lrTb"/>
            <w:noWrap w:val="false"/>
          </w:tcPr>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bidi="ar-SA"/>
              </w:rPr>
            </w:r>
            <w:r/>
          </w:p>
        </w:tc>
        <w:tc>
          <w:tcPr>
            <w:tcW w:w="2181" w:type="dxa"/>
            <w:vAlign w:val="center"/>
            <w:textDirection w:val="lrTb"/>
            <w:noWrap w:val="false"/>
          </w:tcPr>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由</w:t>
            </w:r>
            <w:r>
              <w:rPr>
                <w:rFonts w:hint="eastAsia" w:ascii="宋体" w:hAnsi="宋体" w:eastAsia="宋体" w:cs="宋体"/>
                <w:b w:val="0"/>
                <w:bCs/>
                <w:color w:val="000000"/>
                <w:sz w:val="24"/>
                <w:szCs w:val="24"/>
                <w:highlight w:val="none"/>
                <w:lang w:val="en-US" w:eastAsia="zh-CN"/>
              </w:rPr>
              <w:t xml:space="preserve">评标委员会</w:t>
            </w:r>
            <w:r>
              <w:rPr>
                <w:rFonts w:hint="eastAsia" w:ascii="宋体" w:hAnsi="宋体" w:eastAsia="宋体" w:cs="宋体"/>
                <w:b w:val="0"/>
                <w:bCs/>
                <w:color w:val="000000"/>
                <w:sz w:val="24"/>
                <w:szCs w:val="24"/>
                <w:highlight w:val="none"/>
                <w:lang w:val="en-US" w:eastAsia="zh-CN"/>
              </w:rPr>
              <w:t xml:space="preserve">结合</w:t>
            </w:r>
            <w:r>
              <w:rPr>
                <w:rFonts w:hint="eastAsia" w:ascii="宋体" w:hAnsi="宋体" w:eastAsia="宋体" w:cs="宋体"/>
                <w:color w:val="000000"/>
                <w:sz w:val="24"/>
                <w:szCs w:val="24"/>
                <w:highlight w:val="none"/>
              </w:rPr>
              <w:t xml:space="preserve">项目需求内容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根据投标人所提供</w:t>
            </w:r>
            <w:r>
              <w:rPr>
                <w:rFonts w:hint="eastAsia" w:ascii="宋体" w:hAnsi="宋体" w:eastAsia="宋体" w:cs="宋体"/>
                <w:b w:val="0"/>
                <w:bCs/>
                <w:color w:val="000000"/>
                <w:sz w:val="24"/>
                <w:szCs w:val="24"/>
                <w:highlight w:val="none"/>
                <w:lang w:val="en-US" w:eastAsia="zh-CN"/>
              </w:rPr>
              <w:t xml:space="preserve">的病理科质量体系建设管理方案内容，评定方案是否完善可行、具体合理。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b w:val="0"/>
                <w:bCs/>
                <w:color w:val="000000"/>
                <w:sz w:val="24"/>
                <w:szCs w:val="24"/>
                <w:highlight w:val="none"/>
                <w:lang w:val="en-US" w:eastAsia="zh-CN" w:bidi="ar-SA"/>
              </w:rPr>
            </w:r>
            <w:r/>
          </w:p>
        </w:tc>
        <w:tc>
          <w:tcPr>
            <w:tcW w:w="1388" w:type="dxa"/>
            <w:vAlign w:val="center"/>
            <w:textDirection w:val="lrTb"/>
            <w:noWrap w:val="false"/>
          </w:tcPr>
          <w:p>
            <w:pPr>
              <w:pStyle w:val="85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3"/>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2.4</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continue"/>
            <w:textDirection w:val="lrTb"/>
            <w:noWrap w:val="false"/>
          </w:tcPr>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bidi="ar-SA"/>
              </w:rPr>
            </w:r>
            <w:r/>
          </w:p>
        </w:tc>
        <w:tc>
          <w:tcPr>
            <w:tcW w:w="2181" w:type="dxa"/>
            <w:vAlign w:val="center"/>
            <w:textDirection w:val="lrTb"/>
            <w:noWrap w:val="false"/>
          </w:tcPr>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由评委</w:t>
            </w:r>
            <w:r>
              <w:rPr>
                <w:rFonts w:hint="eastAsia" w:ascii="宋体" w:hAnsi="宋体" w:eastAsia="宋体" w:cs="宋体"/>
                <w:b w:val="0"/>
                <w:bCs/>
                <w:color w:val="000000"/>
                <w:sz w:val="24"/>
                <w:szCs w:val="24"/>
                <w:highlight w:val="none"/>
                <w:lang w:val="en-US" w:eastAsia="zh-CN"/>
              </w:rPr>
              <w:t xml:space="preserve">结合</w:t>
            </w:r>
            <w:r>
              <w:rPr>
                <w:rFonts w:hint="eastAsia" w:ascii="宋体" w:hAnsi="宋体" w:eastAsia="宋体" w:cs="宋体"/>
                <w:color w:val="000000"/>
                <w:sz w:val="24"/>
                <w:szCs w:val="24"/>
                <w:highlight w:val="none"/>
              </w:rPr>
              <w:t xml:space="preserve">项目需求内容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根据投标人所提供</w:t>
            </w:r>
            <w:r>
              <w:rPr>
                <w:rFonts w:hint="eastAsia" w:ascii="宋体" w:hAnsi="宋体" w:eastAsia="宋体" w:cs="宋体"/>
                <w:b w:val="0"/>
                <w:bCs/>
                <w:color w:val="000000"/>
                <w:sz w:val="24"/>
                <w:szCs w:val="24"/>
                <w:highlight w:val="none"/>
                <w:lang w:val="en-US" w:eastAsia="zh-CN"/>
              </w:rPr>
              <w:t xml:space="preserve">的病理科运营管理建设方案内容，评定方案是否完善可行、具体合理。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b w:val="0"/>
                <w:bCs/>
                <w:color w:val="000000"/>
                <w:sz w:val="24"/>
                <w:szCs w:val="24"/>
                <w:highlight w:val="none"/>
                <w:lang w:val="en-US" w:eastAsia="zh-CN" w:bidi="ar-SA"/>
              </w:rPr>
            </w:r>
            <w:r/>
          </w:p>
        </w:tc>
        <w:tc>
          <w:tcPr>
            <w:tcW w:w="1388" w:type="dxa"/>
            <w:vAlign w:val="center"/>
            <w:textDirection w:val="lrTb"/>
            <w:noWrap w:val="false"/>
          </w:tcPr>
          <w:p>
            <w:pPr>
              <w:pStyle w:val="85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9"/>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2.5</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restart"/>
            <w:textDirection w:val="lrTb"/>
            <w:noWrap w:val="false"/>
          </w:tcPr>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both"/>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智慧化建设方案</w:t>
            </w:r>
            <w:r>
              <w:rPr>
                <w:rFonts w:hint="eastAsia" w:ascii="宋体" w:hAnsi="宋体" w:eastAsia="宋体" w:cs="宋体"/>
                <w:b w:val="0"/>
                <w:bCs/>
                <w:color w:val="000000"/>
                <w:sz w:val="24"/>
                <w:szCs w:val="24"/>
                <w:highlight w:val="none"/>
                <w:lang w:val="en-US" w:eastAsia="zh-CN" w:bidi="ar-SA"/>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bidi="ar-SA"/>
              </w:rPr>
            </w:r>
            <w:r/>
          </w:p>
        </w:tc>
        <w:tc>
          <w:tcPr>
            <w:tcW w:w="2181" w:type="dxa"/>
            <w:vAlign w:val="center"/>
            <w:textDirection w:val="lrTb"/>
            <w:noWrap w:val="false"/>
          </w:tcPr>
          <w:p>
            <w:pPr>
              <w:pStyle w:val="859"/>
              <w:widowControl/>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由评委</w:t>
            </w:r>
            <w:r>
              <w:rPr>
                <w:rFonts w:hint="eastAsia" w:ascii="宋体" w:hAnsi="宋体" w:eastAsia="宋体" w:cs="宋体"/>
                <w:b w:val="0"/>
                <w:bCs/>
                <w:color w:val="000000"/>
                <w:sz w:val="24"/>
                <w:szCs w:val="24"/>
                <w:highlight w:val="none"/>
                <w:lang w:val="en-US" w:eastAsia="zh-CN"/>
              </w:rPr>
              <w:t xml:space="preserve">结合本</w:t>
            </w:r>
            <w:r>
              <w:rPr>
                <w:rFonts w:hint="eastAsia" w:ascii="宋体" w:hAnsi="宋体" w:eastAsia="宋体" w:cs="宋体"/>
                <w:color w:val="000000"/>
                <w:sz w:val="24"/>
                <w:szCs w:val="24"/>
                <w:highlight w:val="none"/>
              </w:rPr>
              <w:t xml:space="preserve">项目</w:t>
            </w:r>
            <w:r>
              <w:rPr>
                <w:rFonts w:hint="eastAsia" w:ascii="宋体" w:hAnsi="宋体" w:eastAsia="宋体" w:cs="宋体"/>
                <w:b w:val="0"/>
                <w:bCs/>
                <w:color w:val="000000"/>
                <w:sz w:val="24"/>
                <w:szCs w:val="24"/>
                <w:highlight w:val="none"/>
                <w:lang w:val="en-US" w:eastAsia="zh-CN"/>
              </w:rPr>
              <w:t xml:space="preserve">建设数智化病理科的</w:t>
            </w:r>
            <w:r>
              <w:rPr>
                <w:rFonts w:hint="eastAsia" w:ascii="宋体" w:hAnsi="宋体" w:eastAsia="宋体" w:cs="宋体"/>
                <w:color w:val="000000"/>
                <w:sz w:val="24"/>
                <w:szCs w:val="24"/>
                <w:highlight w:val="none"/>
              </w:rPr>
              <w:t xml:space="preserve">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根据投标人提供的</w:t>
            </w:r>
            <w:r>
              <w:rPr>
                <w:rFonts w:hint="eastAsia" w:ascii="宋体" w:hAnsi="宋体" w:eastAsia="宋体" w:cs="宋体"/>
                <w:color w:val="000000"/>
                <w:sz w:val="24"/>
                <w:szCs w:val="24"/>
                <w:highlight w:val="none"/>
                <w:lang w:val="en-US" w:eastAsia="zh-CN"/>
              </w:rPr>
              <w:t xml:space="preserve">科室信息化建设方案</w:t>
            </w:r>
            <w:r>
              <w:rPr>
                <w:rFonts w:hint="eastAsia" w:ascii="宋体" w:hAnsi="宋体" w:eastAsia="宋体" w:cs="宋体"/>
                <w:color w:val="000000"/>
                <w:sz w:val="24"/>
                <w:szCs w:val="24"/>
                <w:highlight w:val="none"/>
              </w:rPr>
              <w:t xml:space="preserve">，评价方案全面性、合理性。</w:t>
            </w:r>
            <w:r>
              <w:rPr>
                <w:rFonts w:hint="eastAsia" w:ascii="宋体" w:hAnsi="宋体" w:eastAsia="宋体" w:cs="宋体"/>
                <w:color w:val="000000"/>
                <w:sz w:val="24"/>
                <w:szCs w:val="24"/>
                <w:highlight w:val="none"/>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color w:val="000000"/>
                <w:sz w:val="24"/>
                <w:szCs w:val="24"/>
                <w:highlight w:val="none"/>
                <w:lang w:val="en-US" w:eastAsia="zh-CN" w:bidi="ar-SA"/>
              </w:rPr>
            </w:r>
            <w:r/>
          </w:p>
        </w:tc>
        <w:tc>
          <w:tcPr>
            <w:tcW w:w="1388" w:type="dxa"/>
            <w:vAlign w:val="center"/>
            <w:textDirection w:val="lrTb"/>
            <w:noWrap w:val="false"/>
          </w:tcPr>
          <w:p>
            <w:pPr>
              <w:pStyle w:val="85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9"/>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2.6</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continue"/>
            <w:textDirection w:val="lrTb"/>
            <w:noWrap w:val="false"/>
          </w:tcPr>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bidi="ar-SA"/>
              </w:rPr>
            </w:r>
            <w:r/>
          </w:p>
        </w:tc>
        <w:tc>
          <w:tcPr>
            <w:tcW w:w="2181" w:type="dxa"/>
            <w:vAlign w:val="center"/>
            <w:textDirection w:val="lrTb"/>
            <w:noWrap w:val="false"/>
          </w:tcPr>
          <w:p>
            <w:pPr>
              <w:pStyle w:val="859"/>
              <w:widowControl/>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由评委</w:t>
            </w:r>
            <w:r>
              <w:rPr>
                <w:rFonts w:hint="eastAsia" w:ascii="宋体" w:hAnsi="宋体" w:eastAsia="宋体" w:cs="宋体"/>
                <w:b w:val="0"/>
                <w:bCs/>
                <w:color w:val="000000"/>
                <w:sz w:val="24"/>
                <w:szCs w:val="24"/>
                <w:highlight w:val="none"/>
                <w:lang w:val="en-US" w:eastAsia="zh-CN"/>
              </w:rPr>
              <w:t xml:space="preserve">结合本</w:t>
            </w:r>
            <w:r>
              <w:rPr>
                <w:rFonts w:hint="eastAsia" w:ascii="宋体" w:hAnsi="宋体" w:eastAsia="宋体" w:cs="宋体"/>
                <w:color w:val="000000"/>
                <w:sz w:val="24"/>
                <w:szCs w:val="24"/>
                <w:highlight w:val="none"/>
              </w:rPr>
              <w:t xml:space="preserve">项目</w:t>
            </w:r>
            <w:r>
              <w:rPr>
                <w:rFonts w:hint="eastAsia" w:ascii="宋体" w:hAnsi="宋体" w:eastAsia="宋体" w:cs="宋体"/>
                <w:b w:val="0"/>
                <w:bCs/>
                <w:color w:val="000000"/>
                <w:sz w:val="24"/>
                <w:szCs w:val="24"/>
                <w:highlight w:val="none"/>
                <w:lang w:val="en-US" w:eastAsia="zh-CN"/>
              </w:rPr>
              <w:t xml:space="preserve">建设数智化病理科的</w:t>
            </w:r>
            <w:r>
              <w:rPr>
                <w:rFonts w:hint="eastAsia" w:ascii="宋体" w:hAnsi="宋体" w:eastAsia="宋体" w:cs="宋体"/>
                <w:color w:val="000000"/>
                <w:sz w:val="24"/>
                <w:szCs w:val="24"/>
                <w:highlight w:val="none"/>
              </w:rPr>
              <w:t xml:space="preserve">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根据投标人提供的</w:t>
            </w:r>
            <w:r>
              <w:rPr>
                <w:rFonts w:hint="eastAsia" w:ascii="宋体" w:hAnsi="宋体" w:eastAsia="宋体" w:cs="宋体"/>
                <w:color w:val="000000"/>
                <w:sz w:val="24"/>
                <w:szCs w:val="24"/>
                <w:highlight w:val="none"/>
                <w:lang w:val="en-US" w:eastAsia="zh-CN"/>
              </w:rPr>
              <w:t xml:space="preserve">科室数字化建设方案</w:t>
            </w:r>
            <w:r>
              <w:rPr>
                <w:rFonts w:hint="eastAsia" w:ascii="宋体" w:hAnsi="宋体" w:eastAsia="宋体" w:cs="宋体"/>
                <w:color w:val="000000"/>
                <w:sz w:val="24"/>
                <w:szCs w:val="24"/>
                <w:highlight w:val="none"/>
              </w:rPr>
              <w:t xml:space="preserve">，综合评价方案全面性、合理性。</w:t>
            </w:r>
            <w:r>
              <w:rPr>
                <w:rFonts w:hint="eastAsia" w:ascii="宋体" w:hAnsi="宋体" w:eastAsia="宋体" w:cs="宋体"/>
                <w:color w:val="000000"/>
                <w:sz w:val="24"/>
                <w:szCs w:val="24"/>
                <w:highlight w:val="none"/>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b w:val="0"/>
                <w:bCs/>
                <w:color w:val="000000"/>
                <w:sz w:val="24"/>
                <w:szCs w:val="24"/>
                <w:highlight w:val="none"/>
                <w:lang w:val="en-US" w:eastAsia="zh-CN" w:bidi="ar-SA"/>
              </w:rPr>
            </w:r>
            <w:r/>
          </w:p>
        </w:tc>
        <w:tc>
          <w:tcPr>
            <w:tcW w:w="1388" w:type="dxa"/>
            <w:vAlign w:val="center"/>
            <w:textDirection w:val="lrTb"/>
            <w:noWrap w:val="false"/>
          </w:tcPr>
          <w:p>
            <w:pPr>
              <w:pStyle w:val="859"/>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4"/>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2.7</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continue"/>
            <w:textDirection w:val="lrTb"/>
            <w:noWrap w:val="false"/>
          </w:tcPr>
          <w:p>
            <w:pPr>
              <w:pStyle w:val="859"/>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bidi="ar-SA"/>
              </w:rPr>
            </w:r>
            <w:r/>
          </w:p>
        </w:tc>
        <w:tc>
          <w:tcPr>
            <w:tcW w:w="2181" w:type="dxa"/>
            <w:vAlign w:val="center"/>
            <w:textDirection w:val="lrTb"/>
            <w:noWrap w:val="false"/>
          </w:tcPr>
          <w:p>
            <w:pPr>
              <w:pStyle w:val="859"/>
              <w:widowControl/>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由评委</w:t>
            </w:r>
            <w:r>
              <w:rPr>
                <w:rFonts w:hint="eastAsia" w:ascii="宋体" w:hAnsi="宋体" w:eastAsia="宋体" w:cs="宋体"/>
                <w:b w:val="0"/>
                <w:bCs/>
                <w:color w:val="000000"/>
                <w:sz w:val="24"/>
                <w:szCs w:val="24"/>
                <w:highlight w:val="none"/>
                <w:lang w:val="en-US" w:eastAsia="zh-CN"/>
              </w:rPr>
              <w:t xml:space="preserve">结合本</w:t>
            </w:r>
            <w:r>
              <w:rPr>
                <w:rFonts w:hint="eastAsia" w:ascii="宋体" w:hAnsi="宋体" w:eastAsia="宋体" w:cs="宋体"/>
                <w:color w:val="000000"/>
                <w:sz w:val="24"/>
                <w:szCs w:val="24"/>
                <w:highlight w:val="none"/>
              </w:rPr>
              <w:t xml:space="preserve">项目</w:t>
            </w:r>
            <w:r>
              <w:rPr>
                <w:rFonts w:hint="eastAsia" w:ascii="宋体" w:hAnsi="宋体" w:eastAsia="宋体" w:cs="宋体"/>
                <w:b w:val="0"/>
                <w:bCs/>
                <w:color w:val="000000"/>
                <w:sz w:val="24"/>
                <w:szCs w:val="24"/>
                <w:highlight w:val="none"/>
                <w:lang w:val="en-US" w:eastAsia="zh-CN"/>
              </w:rPr>
              <w:t xml:space="preserve">建设数智化病理科的</w:t>
            </w:r>
            <w:r>
              <w:rPr>
                <w:rFonts w:hint="eastAsia" w:ascii="宋体" w:hAnsi="宋体" w:eastAsia="宋体" w:cs="宋体"/>
                <w:color w:val="000000"/>
                <w:sz w:val="24"/>
                <w:szCs w:val="24"/>
                <w:highlight w:val="none"/>
              </w:rPr>
              <w:t xml:space="preserve">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根据投标人提供的</w:t>
            </w:r>
            <w:r>
              <w:rPr>
                <w:rFonts w:hint="eastAsia" w:ascii="宋体" w:hAnsi="宋体" w:eastAsia="宋体" w:cs="宋体"/>
                <w:color w:val="000000"/>
                <w:sz w:val="24"/>
                <w:szCs w:val="24"/>
                <w:highlight w:val="none"/>
                <w:lang w:val="en-US" w:eastAsia="zh-CN"/>
              </w:rPr>
              <w:t xml:space="preserve">科室智慧化建设方案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综合评价方案全面性、合理性。</w:t>
            </w:r>
            <w:r>
              <w:rPr>
                <w:rFonts w:hint="eastAsia" w:ascii="宋体" w:hAnsi="宋体" w:eastAsia="宋体" w:cs="宋体"/>
                <w:color w:val="000000"/>
                <w:sz w:val="24"/>
                <w:szCs w:val="24"/>
                <w:highlight w:val="none"/>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b w:val="0"/>
                <w:bCs/>
                <w:color w:val="000000"/>
                <w:sz w:val="24"/>
                <w:szCs w:val="24"/>
                <w:highlight w:val="none"/>
                <w:lang w:val="en-US" w:eastAsia="zh-CN" w:bidi="ar-SA"/>
              </w:rPr>
            </w:r>
            <w:r/>
          </w:p>
        </w:tc>
        <w:tc>
          <w:tcPr>
            <w:tcW w:w="1388" w:type="dxa"/>
            <w:vAlign w:val="center"/>
            <w:textDirection w:val="lrTb"/>
            <w:noWrap w:val="false"/>
          </w:tcPr>
          <w:p>
            <w:pPr>
              <w:pStyle w:val="859"/>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r>
      <w:tr>
        <w:trPr>
          <w:trHeight w:val="104"/>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2.8</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continue"/>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412" w:type="dxa"/>
            <w:vAlign w:val="center"/>
            <w:textDirection w:val="lrTb"/>
            <w:noWrap w:val="false"/>
          </w:tcPr>
          <w:p>
            <w:pPr>
              <w:pStyle w:val="859"/>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181" w:type="dxa"/>
            <w:vAlign w:val="center"/>
            <w:textDirection w:val="lrTb"/>
            <w:noWrap w:val="false"/>
          </w:tcPr>
          <w:p>
            <w:pPr>
              <w:pStyle w:val="859"/>
              <w:widowControl/>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由评委</w:t>
            </w:r>
            <w:r>
              <w:rPr>
                <w:rFonts w:hint="eastAsia" w:ascii="宋体" w:hAnsi="宋体" w:eastAsia="宋体" w:cs="宋体"/>
                <w:b w:val="0"/>
                <w:bCs/>
                <w:color w:val="000000"/>
                <w:sz w:val="24"/>
                <w:szCs w:val="24"/>
                <w:highlight w:val="none"/>
                <w:lang w:val="en-US" w:eastAsia="zh-CN"/>
              </w:rPr>
              <w:t xml:space="preserve">结合本</w:t>
            </w:r>
            <w:r>
              <w:rPr>
                <w:rFonts w:hint="eastAsia" w:ascii="宋体" w:hAnsi="宋体" w:eastAsia="宋体" w:cs="宋体"/>
                <w:color w:val="000000"/>
                <w:sz w:val="24"/>
                <w:szCs w:val="24"/>
                <w:highlight w:val="none"/>
              </w:rPr>
              <w:t xml:space="preserve">项目</w:t>
            </w:r>
            <w:r>
              <w:rPr>
                <w:rFonts w:hint="eastAsia" w:ascii="宋体" w:hAnsi="宋体" w:eastAsia="宋体" w:cs="宋体"/>
                <w:b w:val="0"/>
                <w:bCs/>
                <w:color w:val="000000"/>
                <w:sz w:val="24"/>
                <w:szCs w:val="24"/>
                <w:highlight w:val="none"/>
                <w:lang w:val="en-US" w:eastAsia="zh-CN"/>
              </w:rPr>
              <w:t xml:space="preserve">建设数智化病理科的</w:t>
            </w:r>
            <w:r>
              <w:rPr>
                <w:rFonts w:hint="eastAsia" w:ascii="宋体" w:hAnsi="宋体" w:eastAsia="宋体" w:cs="宋体"/>
                <w:color w:val="000000"/>
                <w:sz w:val="24"/>
                <w:szCs w:val="24"/>
                <w:highlight w:val="none"/>
              </w:rPr>
              <w:t xml:space="preserve">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根据投标人提供的</w:t>
            </w:r>
            <w:r>
              <w:rPr>
                <w:rFonts w:hint="eastAsia" w:ascii="宋体" w:hAnsi="宋体" w:eastAsia="宋体" w:cs="宋体"/>
                <w:color w:val="000000"/>
                <w:sz w:val="24"/>
                <w:szCs w:val="24"/>
                <w:highlight w:val="none"/>
                <w:lang w:val="en-US" w:eastAsia="zh-CN"/>
              </w:rPr>
              <w:t xml:space="preserve">数智化病理科实施</w:t>
            </w:r>
            <w:r>
              <w:rPr>
                <w:rFonts w:hint="eastAsia" w:ascii="宋体" w:hAnsi="宋体" w:eastAsia="宋体" w:cs="宋体"/>
                <w:color w:val="000000"/>
                <w:sz w:val="24"/>
                <w:szCs w:val="24"/>
                <w:highlight w:val="none"/>
              </w:rPr>
              <w:t xml:space="preserve">进度计划</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，综合评价方案全面性、合理性。</w:t>
            </w:r>
            <w:r>
              <w:rPr>
                <w:rFonts w:hint="eastAsia" w:ascii="宋体" w:hAnsi="宋体" w:eastAsia="宋体" w:cs="宋体"/>
                <w:color w:val="000000"/>
                <w:sz w:val="24"/>
                <w:szCs w:val="24"/>
                <w:highlight w:val="none"/>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b w:val="0"/>
                <w:bCs/>
                <w:color w:val="000000"/>
                <w:sz w:val="24"/>
                <w:szCs w:val="24"/>
                <w:highlight w:val="none"/>
                <w:lang w:val="en-US" w:eastAsia="zh-CN" w:bidi="ar-SA"/>
              </w:rPr>
            </w:r>
            <w:r/>
          </w:p>
        </w:tc>
        <w:tc>
          <w:tcPr>
            <w:tcW w:w="1388" w:type="dxa"/>
            <w:vAlign w:val="center"/>
            <w:textDirection w:val="lrTb"/>
            <w:noWrap w:val="false"/>
          </w:tcPr>
          <w:p>
            <w:pPr>
              <w:pStyle w:val="859"/>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r>
      <w:tr>
        <w:trPr>
          <w:trHeight w:val="104"/>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restart"/>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项目实施</w:t>
            </w:r>
            <w:r>
              <w:rPr>
                <w:rFonts w:hint="eastAsia" w:ascii="宋体" w:hAnsi="宋体" w:eastAsia="宋体" w:cs="宋体"/>
                <w:b w:val="0"/>
                <w:bCs/>
                <w:color w:val="000000"/>
                <w:sz w:val="24"/>
                <w:szCs w:val="24"/>
                <w:highlight w:val="none"/>
              </w:rPr>
              <w:t xml:space="preserve">方案</w:t>
            </w:r>
            <w:r>
              <w:rPr>
                <w:rFonts w:hint="eastAsia" w:ascii="宋体" w:hAnsi="宋体" w:eastAsia="宋体" w:cs="宋体"/>
                <w:b w:val="0"/>
                <w:bCs/>
                <w:color w:val="000000"/>
                <w:sz w:val="24"/>
                <w:szCs w:val="24"/>
                <w:highlight w:val="none"/>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r>
            <w:r/>
          </w:p>
        </w:tc>
        <w:tc>
          <w:tcPr>
            <w:tcW w:w="2181" w:type="dxa"/>
            <w:vAlign w:val="top"/>
            <w:textDirection w:val="lrTb"/>
            <w:noWrap w:val="false"/>
          </w:tcPr>
          <w:p>
            <w:pPr>
              <w:pStyle w:val="859"/>
              <w:widowControl/>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由评</w:t>
            </w:r>
            <w:r>
              <w:rPr>
                <w:rFonts w:hint="eastAsia" w:ascii="宋体" w:hAnsi="宋体" w:eastAsia="宋体" w:cs="宋体"/>
                <w:color w:val="000000"/>
                <w:sz w:val="24"/>
                <w:szCs w:val="24"/>
                <w:highlight w:val="none"/>
                <w:lang w:val="en-US" w:eastAsia="zh-CN"/>
              </w:rPr>
              <w:t xml:space="preserve">委结合本项目服务要求的需求内容，根据投标人提供的临床服务体系建设方案，综合评价方案全面性、合理性。</w:t>
            </w:r>
            <w:r>
              <w:rPr>
                <w:rFonts w:hint="eastAsia" w:ascii="宋体" w:hAnsi="宋体" w:eastAsia="宋体" w:cs="宋体"/>
                <w:color w:val="000000"/>
                <w:sz w:val="24"/>
                <w:szCs w:val="24"/>
                <w:highlight w:val="none"/>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b w:val="0"/>
                <w:bCs/>
                <w:color w:val="000000"/>
                <w:sz w:val="24"/>
                <w:szCs w:val="24"/>
                <w:highlight w:val="none"/>
                <w:lang w:val="en-US" w:eastAsia="zh-CN" w:bidi="ar-SA"/>
              </w:rPr>
            </w:r>
            <w:r/>
          </w:p>
        </w:tc>
        <w:tc>
          <w:tcPr>
            <w:tcW w:w="1388" w:type="dxa"/>
            <w:vAlign w:val="top"/>
            <w:textDirection w:val="lrTb"/>
            <w:noWrap w:val="false"/>
          </w:tcPr>
          <w:p>
            <w:pPr>
              <w:pStyle w:val="859"/>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r>
      <w:tr>
        <w:trPr>
          <w:trHeight w:val="115"/>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2.10</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continue"/>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412" w:type="dxa"/>
            <w:vAlign w:val="center"/>
            <w:textDirection w:val="lrTb"/>
            <w:noWrap w:val="false"/>
          </w:tcPr>
          <w:p>
            <w:pPr>
              <w:pStyle w:val="859"/>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181" w:type="dxa"/>
            <w:vAlign w:val="top"/>
            <w:textDirection w:val="lrTb"/>
            <w:noWrap w:val="false"/>
          </w:tcPr>
          <w:p>
            <w:pPr>
              <w:pStyle w:val="859"/>
              <w:widowControl/>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由评委</w:t>
            </w:r>
            <w:r>
              <w:rPr>
                <w:rFonts w:hint="eastAsia" w:ascii="宋体" w:hAnsi="宋体" w:eastAsia="宋体" w:cs="宋体"/>
                <w:b w:val="0"/>
                <w:bCs/>
                <w:color w:val="000000"/>
                <w:sz w:val="24"/>
                <w:szCs w:val="24"/>
                <w:highlight w:val="none"/>
                <w:lang w:val="en-US" w:eastAsia="zh-CN"/>
              </w:rPr>
              <w:t xml:space="preserve">结合本</w:t>
            </w:r>
            <w:r>
              <w:rPr>
                <w:rFonts w:hint="eastAsia" w:ascii="宋体" w:hAnsi="宋体" w:eastAsia="宋体" w:cs="宋体"/>
                <w:color w:val="000000"/>
                <w:sz w:val="24"/>
                <w:szCs w:val="24"/>
                <w:highlight w:val="none"/>
              </w:rPr>
              <w:t xml:space="preserve">项目</w:t>
            </w:r>
            <w:r>
              <w:rPr>
                <w:rFonts w:hint="eastAsia" w:ascii="宋体" w:hAnsi="宋体" w:eastAsia="宋体" w:cs="宋体"/>
                <w:b w:val="0"/>
                <w:bCs/>
                <w:color w:val="000000"/>
                <w:sz w:val="24"/>
                <w:szCs w:val="24"/>
                <w:highlight w:val="none"/>
                <w:lang w:val="en-US" w:eastAsia="zh-CN"/>
              </w:rPr>
              <w:t xml:space="preserve">服务要求的</w:t>
            </w:r>
            <w:r>
              <w:rPr>
                <w:rFonts w:hint="eastAsia" w:ascii="宋体" w:hAnsi="宋体" w:eastAsia="宋体" w:cs="宋体"/>
                <w:color w:val="000000"/>
                <w:sz w:val="24"/>
                <w:szCs w:val="24"/>
                <w:highlight w:val="none"/>
              </w:rPr>
              <w:t xml:space="preserve">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根据投标人提供的</w:t>
            </w:r>
            <w:r>
              <w:rPr>
                <w:rFonts w:hint="eastAsia" w:ascii="宋体" w:hAnsi="宋体" w:eastAsia="宋体" w:cs="宋体"/>
                <w:color w:val="000000"/>
                <w:sz w:val="24"/>
                <w:szCs w:val="24"/>
                <w:highlight w:val="none"/>
                <w:lang w:val="en-US" w:eastAsia="zh-CN"/>
              </w:rPr>
              <w:t xml:space="preserve">诊断后服务方案，包括报告的解读、专家讲座等内容</w:t>
            </w:r>
            <w:r>
              <w:rPr>
                <w:rFonts w:hint="eastAsia" w:ascii="宋体" w:hAnsi="宋体" w:eastAsia="宋体" w:cs="宋体"/>
                <w:color w:val="000000"/>
                <w:sz w:val="24"/>
                <w:szCs w:val="24"/>
                <w:highlight w:val="none"/>
              </w:rPr>
              <w:t xml:space="preserve">，综合评价方案全面性、合理性。</w:t>
            </w:r>
            <w:r>
              <w:rPr>
                <w:rFonts w:hint="eastAsia" w:ascii="宋体" w:hAnsi="宋体" w:eastAsia="宋体" w:cs="宋体"/>
                <w:color w:val="000000"/>
                <w:sz w:val="24"/>
                <w:szCs w:val="24"/>
                <w:highlight w:val="none"/>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b w:val="0"/>
                <w:bCs/>
                <w:color w:val="000000"/>
                <w:sz w:val="24"/>
                <w:szCs w:val="24"/>
                <w:highlight w:val="none"/>
                <w:lang w:val="en-US" w:eastAsia="zh-CN" w:bidi="ar-SA"/>
              </w:rPr>
            </w:r>
            <w:r/>
          </w:p>
        </w:tc>
        <w:tc>
          <w:tcPr>
            <w:tcW w:w="1388" w:type="dxa"/>
            <w:vAlign w:val="top"/>
            <w:textDirection w:val="lrTb"/>
            <w:noWrap w:val="false"/>
          </w:tcPr>
          <w:p>
            <w:pPr>
              <w:pStyle w:val="859"/>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r>
      <w:tr>
        <w:trPr>
          <w:trHeight w:val="115"/>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2.11</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continue"/>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412" w:type="dxa"/>
            <w:vAlign w:val="center"/>
            <w:textDirection w:val="lrTb"/>
            <w:noWrap w:val="false"/>
          </w:tcPr>
          <w:p>
            <w:pPr>
              <w:pStyle w:val="859"/>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181" w:type="dxa"/>
            <w:vAlign w:val="top"/>
            <w:textDirection w:val="lrTb"/>
            <w:noWrap w:val="false"/>
          </w:tcPr>
          <w:p>
            <w:pPr>
              <w:pStyle w:val="859"/>
              <w:widowControl/>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由评委</w:t>
            </w:r>
            <w:r>
              <w:rPr>
                <w:rFonts w:hint="eastAsia" w:ascii="宋体" w:hAnsi="宋体" w:eastAsia="宋体" w:cs="宋体"/>
                <w:b w:val="0"/>
                <w:bCs/>
                <w:color w:val="000000"/>
                <w:sz w:val="24"/>
                <w:szCs w:val="24"/>
                <w:highlight w:val="none"/>
                <w:lang w:val="en-US" w:eastAsia="zh-CN"/>
              </w:rPr>
              <w:t xml:space="preserve">结合本</w:t>
            </w:r>
            <w:r>
              <w:rPr>
                <w:rFonts w:hint="eastAsia" w:ascii="宋体" w:hAnsi="宋体" w:eastAsia="宋体" w:cs="宋体"/>
                <w:color w:val="000000"/>
                <w:sz w:val="24"/>
                <w:szCs w:val="24"/>
                <w:highlight w:val="none"/>
              </w:rPr>
              <w:t xml:space="preserve">项目</w:t>
            </w:r>
            <w:r>
              <w:rPr>
                <w:rFonts w:hint="eastAsia" w:ascii="宋体" w:hAnsi="宋体" w:eastAsia="宋体" w:cs="宋体"/>
                <w:b w:val="0"/>
                <w:bCs/>
                <w:color w:val="000000"/>
                <w:sz w:val="24"/>
                <w:szCs w:val="24"/>
                <w:highlight w:val="none"/>
                <w:lang w:val="en-US" w:eastAsia="zh-CN"/>
              </w:rPr>
              <w:t xml:space="preserve">服务要求的</w:t>
            </w:r>
            <w:r>
              <w:rPr>
                <w:rFonts w:hint="eastAsia" w:ascii="宋体" w:hAnsi="宋体" w:eastAsia="宋体" w:cs="宋体"/>
                <w:color w:val="000000"/>
                <w:sz w:val="24"/>
                <w:szCs w:val="24"/>
                <w:highlight w:val="none"/>
              </w:rPr>
              <w:t xml:space="preserve">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根据投标人提供的</w:t>
            </w:r>
            <w:r>
              <w:rPr>
                <w:rFonts w:hint="eastAsia" w:ascii="宋体" w:hAnsi="宋体" w:eastAsia="宋体" w:cs="宋体"/>
                <w:color w:val="000000"/>
                <w:sz w:val="24"/>
                <w:szCs w:val="24"/>
                <w:highlight w:val="none"/>
                <w:lang w:val="en-US" w:eastAsia="zh-CN"/>
              </w:rPr>
              <w:t xml:space="preserve">应急服务方案，包括设备、供应、诊断等应急服务内容</w:t>
            </w:r>
            <w:r>
              <w:rPr>
                <w:rFonts w:hint="eastAsia" w:ascii="宋体" w:hAnsi="宋体" w:eastAsia="宋体" w:cs="宋体"/>
                <w:color w:val="000000"/>
                <w:sz w:val="24"/>
                <w:szCs w:val="24"/>
                <w:highlight w:val="none"/>
              </w:rPr>
              <w:t xml:space="preserve">，综合评价方案全面性、合理性。</w:t>
            </w:r>
            <w:r>
              <w:rPr>
                <w:rFonts w:hint="eastAsia" w:ascii="宋体" w:hAnsi="宋体" w:eastAsia="宋体" w:cs="宋体"/>
                <w:color w:val="000000"/>
                <w:sz w:val="24"/>
                <w:szCs w:val="24"/>
                <w:highlight w:val="none"/>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hint="eastAsia" w:ascii="宋体" w:hAnsi="宋体" w:eastAsia="宋体" w:cs="宋体"/>
                <w:b w:val="0"/>
                <w:bCs/>
                <w:color w:val="000000"/>
                <w:sz w:val="24"/>
                <w:szCs w:val="24"/>
                <w:highlight w:val="none"/>
                <w:lang w:val="en-US" w:eastAsia="zh-CN"/>
              </w:rPr>
            </w:r>
            <w:r/>
          </w:p>
        </w:tc>
        <w:tc>
          <w:tcPr>
            <w:tcW w:w="1388" w:type="dxa"/>
            <w:vAlign w:val="top"/>
            <w:textDirection w:val="lrTb"/>
            <w:noWrap w:val="false"/>
          </w:tcPr>
          <w:p>
            <w:pPr>
              <w:pStyle w:val="859"/>
              <w:widowControl/>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tc>
      </w:tr>
      <w:tr>
        <w:trPr>
          <w:trHeight w:val="90"/>
        </w:trPr>
        <w:tc>
          <w:tcPr>
            <w:tcW w:w="356" w:type="dxa"/>
            <w:vAlign w:val="center"/>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2.12</w:t>
            </w:r>
            <w:r>
              <w:rPr>
                <w:rFonts w:hint="eastAsia" w:ascii="宋体" w:hAnsi="宋体" w:eastAsia="宋体" w:cs="宋体"/>
                <w:b w:val="0"/>
                <w:bCs/>
                <w:color w:val="000000"/>
                <w:sz w:val="24"/>
                <w:szCs w:val="24"/>
                <w:highlight w:val="none"/>
                <w:lang w:val="en-US" w:eastAsia="zh-CN" w:bidi="ar-SA"/>
              </w:rPr>
            </w:r>
            <w:r/>
          </w:p>
        </w:tc>
        <w:tc>
          <w:tcPr>
            <w:tcW w:w="661" w:type="dxa"/>
            <w:vAlign w:val="center"/>
            <w:vMerge w:val="continue"/>
            <w:textDirection w:val="lrTb"/>
            <w:noWrap w:val="false"/>
          </w:tcPr>
          <w:p>
            <w:pPr>
              <w:pStyle w:val="859"/>
              <w:ind w:firstLine="28"/>
              <w:jc w:val="center"/>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412" w:type="dxa"/>
            <w:vAlign w:val="center"/>
            <w:textDirection w:val="lrTb"/>
            <w:noWrap w:val="false"/>
          </w:tcPr>
          <w:p>
            <w:pPr>
              <w:pStyle w:val="859"/>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181" w:type="dxa"/>
            <w:vAlign w:val="top"/>
            <w:textDirection w:val="lrTb"/>
            <w:noWrap w:val="false"/>
          </w:tcPr>
          <w:p>
            <w:pPr>
              <w:pStyle w:val="859"/>
              <w:widowControl/>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由评委</w:t>
            </w:r>
            <w:r>
              <w:rPr>
                <w:rFonts w:hint="eastAsia" w:ascii="宋体" w:hAnsi="宋体" w:eastAsia="宋体" w:cs="宋体"/>
                <w:b w:val="0"/>
                <w:bCs/>
                <w:color w:val="000000"/>
                <w:sz w:val="24"/>
                <w:szCs w:val="24"/>
                <w:highlight w:val="none"/>
                <w:lang w:val="en-US" w:eastAsia="zh-CN"/>
              </w:rPr>
              <w:t xml:space="preserve">结合</w:t>
            </w:r>
            <w:r>
              <w:rPr>
                <w:rFonts w:hint="eastAsia" w:ascii="宋体" w:hAnsi="宋体" w:eastAsia="宋体" w:cs="宋体"/>
                <w:b w:val="0"/>
                <w:bCs/>
                <w:color w:val="000000"/>
                <w:sz w:val="24"/>
                <w:szCs w:val="24"/>
                <w:highlight w:val="none"/>
                <w:lang w:val="en-US" w:eastAsia="zh-CN"/>
              </w:rPr>
              <w:t xml:space="preserve">本</w:t>
            </w:r>
            <w:r>
              <w:rPr>
                <w:rFonts w:hint="eastAsia" w:ascii="宋体" w:hAnsi="宋体" w:eastAsia="宋体" w:cs="宋体"/>
                <w:color w:val="000000"/>
                <w:sz w:val="24"/>
                <w:szCs w:val="24"/>
                <w:highlight w:val="none"/>
              </w:rPr>
              <w:t xml:space="preserve">项目</w:t>
            </w:r>
            <w:r>
              <w:rPr>
                <w:rFonts w:hint="eastAsia" w:ascii="宋体" w:hAnsi="宋体" w:eastAsia="宋体" w:cs="宋体"/>
                <w:b w:val="0"/>
                <w:bCs/>
                <w:color w:val="000000"/>
                <w:sz w:val="24"/>
                <w:szCs w:val="24"/>
                <w:highlight w:val="none"/>
                <w:lang w:val="en-US" w:eastAsia="zh-CN"/>
              </w:rPr>
              <w:t xml:space="preserve">服务要求的</w:t>
            </w:r>
            <w:r>
              <w:rPr>
                <w:rFonts w:hint="eastAsia" w:ascii="宋体" w:hAnsi="宋体" w:eastAsia="宋体" w:cs="宋体"/>
                <w:color w:val="000000"/>
                <w:sz w:val="24"/>
                <w:szCs w:val="24"/>
                <w:highlight w:val="none"/>
              </w:rPr>
              <w:t xml:space="preserve">需求内容</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根据投标人提供的</w:t>
            </w:r>
            <w:r>
              <w:rPr>
                <w:rFonts w:hint="eastAsia" w:ascii="宋体" w:hAnsi="宋体" w:eastAsia="宋体" w:cs="宋体"/>
                <w:color w:val="000000"/>
                <w:sz w:val="24"/>
                <w:szCs w:val="24"/>
                <w:highlight w:val="none"/>
                <w:lang w:val="en-US" w:eastAsia="zh-CN"/>
              </w:rPr>
              <w:t xml:space="preserve">学科建设方案，包括市重点专科建设规划等内容</w:t>
            </w:r>
            <w:r>
              <w:rPr>
                <w:rFonts w:hint="eastAsia" w:ascii="宋体" w:hAnsi="宋体" w:eastAsia="宋体" w:cs="宋体"/>
                <w:color w:val="000000"/>
                <w:sz w:val="24"/>
                <w:szCs w:val="24"/>
                <w:highlight w:val="none"/>
              </w:rPr>
              <w:t xml:space="preserve">，综合评价方案全面性、合理性。</w:t>
            </w:r>
            <w:r>
              <w:rPr>
                <w:rFonts w:hint="eastAsia" w:ascii="宋体" w:hAnsi="宋体" w:eastAsia="宋体" w:cs="宋体"/>
                <w:color w:val="000000"/>
                <w:sz w:val="24"/>
                <w:szCs w:val="24"/>
                <w:highlight w:val="none"/>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方案能够结合医院情况设置，方案完善可行、具体合理，得5分；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方案能够结合医院情况设置，方案较完善可行、可行性一般，得3分；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方案不能结合医院情况设置，方案不够完善、可行性差，得1分；</w:t>
            </w:r>
            <w:r>
              <w:rPr>
                <w:rFonts w:hint="eastAsia" w:ascii="宋体" w:hAnsi="宋体" w:eastAsia="宋体" w:cs="宋体"/>
                <w:b w:val="0"/>
                <w:bCs/>
                <w:color w:val="000000"/>
                <w:sz w:val="24"/>
                <w:szCs w:val="24"/>
                <w:highlight w:val="none"/>
                <w:lang w:val="en-US" w:eastAsia="zh-CN"/>
              </w:rPr>
            </w:r>
            <w:r/>
          </w:p>
          <w:p>
            <w:pPr>
              <w:pStyle w:val="859"/>
              <w:spacing w:line="360" w:lineRule="exact"/>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未提供或无可行性的不得分。</w:t>
            </w:r>
            <w:r>
              <w:rPr>
                <w:rFonts w:ascii="宋体" w:hAnsi="宋体" w:eastAsia="宋体" w:cs="宋体"/>
                <w:b w:val="0"/>
                <w:bCs/>
                <w:color w:val="000000"/>
                <w:sz w:val="24"/>
                <w:szCs w:val="24"/>
                <w:highlight w:val="none"/>
                <w:lang w:val="en-US" w:eastAsia="zh-CN"/>
              </w:rPr>
            </w:r>
            <w:r/>
          </w:p>
        </w:tc>
        <w:tc>
          <w:tcPr>
            <w:tcW w:w="1388" w:type="dxa"/>
            <w:vAlign w:val="top"/>
            <w:textDirection w:val="lrTb"/>
            <w:noWrap w:val="false"/>
          </w:tcPr>
          <w:p>
            <w:pPr>
              <w:pStyle w:val="859"/>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r>
      <w:tr>
        <w:trPr>
          <w:trHeight w:val="90"/>
        </w:trPr>
        <w:tc>
          <w:tcPr>
            <w:tcW w:w="356" w:type="dxa"/>
            <w:vAlign w:val="center"/>
            <w:textDirection w:val="lrTb"/>
            <w:noWrap w:val="false"/>
          </w:tcPr>
          <w:p>
            <w:pPr>
              <w:pStyle w:val="859"/>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61" w:type="dxa"/>
            <w:vAlign w:val="center"/>
            <w:textDirection w:val="lrTb"/>
            <w:noWrap w:val="false"/>
          </w:tcPr>
          <w:p>
            <w:pPr>
              <w:pStyle w:val="859"/>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客</w:t>
            </w:r>
            <w:r>
              <w:rPr>
                <w:rFonts w:hint="eastAsia" w:ascii="宋体" w:hAnsi="宋体" w:eastAsia="宋体" w:cs="宋体"/>
                <w:color w:val="000000"/>
                <w:sz w:val="24"/>
                <w:szCs w:val="24"/>
                <w:highlight w:val="none"/>
              </w:rPr>
              <w:t xml:space="preserve">观分</w:t>
            </w:r>
            <w:r>
              <w:rPr>
                <w:rFonts w:hint="eastAsia" w:ascii="宋体" w:hAnsi="宋体" w:eastAsia="宋体" w:cs="宋体"/>
                <w:color w:val="000000"/>
                <w:sz w:val="24"/>
                <w:szCs w:val="24"/>
                <w:highlight w:val="none"/>
                <w:lang w:val="en-US" w:eastAsia="zh-CN" w:bidi="ar-SA"/>
              </w:rPr>
            </w:r>
            <w:r/>
          </w:p>
        </w:tc>
        <w:tc>
          <w:tcPr>
            <w:tcW w:w="412" w:type="dxa"/>
            <w:vAlign w:val="center"/>
            <w:textDirection w:val="lrTb"/>
            <w:noWrap w:val="false"/>
          </w:tcPr>
          <w:p>
            <w:pPr>
              <w:pStyle w:val="859"/>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6627" w:type="dxa"/>
            <w:vAlign w:val="center"/>
            <w:textDirection w:val="lrTb"/>
            <w:noWrap w:val="false"/>
          </w:tcPr>
          <w:p>
            <w:pPr>
              <w:pStyle w:val="859"/>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0"/>
        </w:trPr>
        <w:tc>
          <w:tcPr>
            <w:tcW w:w="356"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bidi="ar-SA"/>
              </w:rPr>
            </w:r>
            <w:r/>
          </w:p>
        </w:tc>
        <w:tc>
          <w:tcPr>
            <w:tcW w:w="661"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质量管理体系与服务认证</w:t>
            </w:r>
            <w:r>
              <w:rPr>
                <w:rFonts w:hint="eastAsia" w:ascii="宋体" w:hAnsi="宋体" w:eastAsia="宋体" w:cs="宋体"/>
                <w:color w:val="000000"/>
                <w:sz w:val="24"/>
                <w:szCs w:val="24"/>
                <w:highlight w:val="none"/>
                <w:lang w:val="en-US" w:eastAsia="zh-CN"/>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2181" w:type="dxa"/>
            <w:vAlign w:val="center"/>
            <w:textDirection w:val="lrTb"/>
            <w:noWrap w:val="false"/>
          </w:tcPr>
          <w:p>
            <w:pPr>
              <w:pStyle w:val="859"/>
              <w:numPr>
                <w:ilvl w:val="0"/>
                <w:numId w:val="14"/>
              </w:numPr>
              <w:jc w:val="left"/>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投标通过ISO 9001质量管理体系认证、ISO 14001环境管理体系认证、ISO 45001 职业健康安全管理体系认证，每提供1项得1分，满分得3分。</w:t>
            </w:r>
            <w:r>
              <w:rPr>
                <w:rFonts w:hint="eastAsia" w:ascii="宋体" w:hAnsi="宋体" w:eastAsia="宋体" w:cs="宋体"/>
                <w:b w:val="0"/>
                <w:bCs/>
                <w:color w:val="000000"/>
                <w:sz w:val="24"/>
                <w:szCs w:val="24"/>
                <w:highlight w:val="none"/>
                <w:lang w:val="en-US" w:eastAsia="zh-CN"/>
              </w:rPr>
              <w:br w:type="textWrapping" w:clear="all"/>
            </w:r>
            <w:r>
              <w:rPr>
                <w:rFonts w:hint="eastAsia" w:ascii="宋体" w:hAnsi="宋体" w:eastAsia="宋体" w:cs="宋体"/>
                <w:b w:val="0"/>
                <w:bCs/>
                <w:color w:val="000000"/>
                <w:sz w:val="24"/>
                <w:szCs w:val="24"/>
                <w:highlight w:val="none"/>
                <w:lang w:val="en-US" w:eastAsia="zh-CN"/>
              </w:rPr>
              <w:t xml:space="preserve">2、投标人具有中国实验室国家认可委员会认证的ISO15189证书，证书包含病理项目范围的得2分；</w:t>
            </w:r>
            <w:r>
              <w:rPr>
                <w:rFonts w:hint="eastAsia" w:ascii="宋体" w:hAnsi="宋体" w:eastAsia="宋体" w:cs="宋体"/>
                <w:color w:val="000000"/>
                <w:sz w:val="24"/>
                <w:szCs w:val="24"/>
                <w:highlight w:val="none"/>
                <w:lang w:val="en-US" w:eastAsia="zh-CN" w:bidi="ar-SA"/>
              </w:rPr>
            </w:r>
            <w:r/>
          </w:p>
        </w:tc>
        <w:tc>
          <w:tcPr>
            <w:tcW w:w="1388" w:type="dxa"/>
            <w:vAlign w:val="center"/>
            <w:textDirection w:val="lrTb"/>
            <w:noWrap w:val="false"/>
          </w:tcPr>
          <w:p>
            <w:pPr>
              <w:pStyle w:val="859"/>
              <w:jc w:val="left"/>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须提供相关证书或有效证明文件复印件并加盖公章，并同时提供以上证书在认监委网站（http://cx.cnca.cn/CertECloud/index/index/page）对该证书的信息查询截图，截图需包含公司名称、证书状态以及清晰明确的认证项目/产品类别，作为评审依据，已失效、暂停、撤销的不得分。</w:t>
            </w:r>
            <w:r>
              <w:rPr>
                <w:rFonts w:hint="eastAsia" w:ascii="宋体" w:hAnsi="宋体" w:eastAsia="宋体" w:cs="宋体"/>
                <w:b w:val="0"/>
                <w:bCs/>
                <w:color w:val="000000"/>
                <w:sz w:val="24"/>
                <w:szCs w:val="24"/>
                <w:highlight w:val="none"/>
                <w:lang w:val="en-US" w:eastAsia="zh-CN"/>
              </w:rPr>
            </w:r>
            <w:r/>
          </w:p>
        </w:tc>
      </w:tr>
      <w:tr>
        <w:trPr>
          <w:trHeight w:val="2095"/>
        </w:trPr>
        <w:tc>
          <w:tcPr>
            <w:tcW w:w="356"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bidi="ar-SA"/>
              </w:rPr>
            </w:r>
            <w:r/>
          </w:p>
        </w:tc>
        <w:tc>
          <w:tcPr>
            <w:tcW w:w="661"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专家及教学能力</w:t>
            </w:r>
            <w:r>
              <w:rPr>
                <w:rFonts w:hint="eastAsia" w:ascii="宋体" w:hAnsi="宋体" w:eastAsia="宋体" w:cs="宋体"/>
                <w:color w:val="000000"/>
                <w:sz w:val="24"/>
                <w:szCs w:val="24"/>
                <w:highlight w:val="none"/>
                <w:lang w:val="en-US" w:eastAsia="zh-CN"/>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2181" w:type="dxa"/>
            <w:vAlign w:val="center"/>
            <w:textDirection w:val="lrTb"/>
            <w:noWrap w:val="false"/>
          </w:tcPr>
          <w:p>
            <w:pPr>
              <w:pStyle w:val="859"/>
              <w:jc w:val="left"/>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投标人</w:t>
            </w:r>
            <w:r>
              <w:rPr>
                <w:rFonts w:hint="eastAsia" w:ascii="宋体" w:hAnsi="宋体" w:eastAsia="宋体" w:cs="宋体"/>
                <w:b w:val="0"/>
                <w:bCs/>
                <w:color w:val="000000"/>
                <w:sz w:val="24"/>
                <w:szCs w:val="24"/>
                <w:highlight w:val="none"/>
                <w:lang w:val="en-US" w:eastAsia="zh-CN"/>
              </w:rPr>
              <w:t xml:space="preserve">拟投入的远程病理诊断平台具备权威的诊断能力，平台内医师团队中，每有一名正高职称专家得1分，副高职称专家得0.5分，本项最多得10分</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tc>
        <w:tc>
          <w:tcPr>
            <w:tcW w:w="1388" w:type="dxa"/>
            <w:vAlign w:val="center"/>
            <w:textDirection w:val="lrTb"/>
            <w:noWrap w:val="false"/>
          </w:tcPr>
          <w:p>
            <w:pPr>
              <w:pStyle w:val="871"/>
              <w:tabs>
                <w:tab w:val="left" w:pos="567"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需提供医师</w:t>
            </w:r>
            <w:r>
              <w:rPr>
                <w:rFonts w:hint="eastAsia" w:ascii="宋体" w:hAnsi="宋体" w:eastAsia="宋体" w:cs="宋体"/>
                <w:b w:val="0"/>
                <w:bCs/>
                <w:color w:val="000000"/>
                <w:sz w:val="24"/>
                <w:szCs w:val="24"/>
                <w:highlight w:val="none"/>
                <w:lang w:val="en-US" w:eastAsia="zh-CN"/>
              </w:rPr>
              <w:t xml:space="preserve">执业证明</w:t>
            </w:r>
            <w:r>
              <w:rPr>
                <w:rFonts w:hint="eastAsia" w:ascii="宋体" w:hAnsi="宋体" w:eastAsia="宋体" w:cs="宋体"/>
                <w:b w:val="0"/>
                <w:bCs/>
                <w:color w:val="000000"/>
                <w:sz w:val="24"/>
                <w:szCs w:val="24"/>
                <w:highlight w:val="none"/>
              </w:rPr>
              <w:t xml:space="preserve">以及有效的职称证书。</w:t>
            </w:r>
            <w:r>
              <w:rPr>
                <w:rFonts w:hint="eastAsia" w:ascii="宋体" w:hAnsi="宋体" w:eastAsia="宋体" w:cs="宋体"/>
                <w:b w:val="0"/>
                <w:bCs/>
                <w:color w:val="000000"/>
                <w:sz w:val="24"/>
                <w:szCs w:val="24"/>
                <w:highlight w:val="none"/>
              </w:rPr>
            </w:r>
            <w:r/>
          </w:p>
        </w:tc>
      </w:tr>
      <w:tr>
        <w:trPr>
          <w:trHeight w:val="2433"/>
        </w:trPr>
        <w:tc>
          <w:tcPr>
            <w:tcW w:w="356"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bidi="ar-SA"/>
              </w:rPr>
            </w:r>
            <w:r/>
          </w:p>
        </w:tc>
        <w:tc>
          <w:tcPr>
            <w:tcW w:w="661"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远程病理诊断服务能力</w:t>
            </w:r>
            <w:r>
              <w:rPr>
                <w:rFonts w:hint="eastAsia" w:ascii="宋体" w:hAnsi="宋体" w:eastAsia="宋体" w:cs="宋体"/>
                <w:color w:val="000000"/>
                <w:sz w:val="24"/>
                <w:szCs w:val="24"/>
                <w:highlight w:val="none"/>
                <w:lang w:val="en-US" w:eastAsia="zh-CN"/>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2181" w:type="dxa"/>
            <w:vAlign w:val="center"/>
            <w:textDirection w:val="lrTb"/>
            <w:noWrap w:val="false"/>
          </w:tcPr>
          <w:p>
            <w:pPr>
              <w:pStyle w:val="859"/>
              <w:jc w:val="left"/>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投标人</w:t>
            </w:r>
            <w:r>
              <w:rPr>
                <w:rFonts w:hint="eastAsia" w:ascii="宋体" w:hAnsi="宋体" w:eastAsia="宋体" w:cs="宋体"/>
                <w:b w:val="0"/>
                <w:bCs/>
                <w:color w:val="000000"/>
                <w:sz w:val="24"/>
                <w:szCs w:val="24"/>
                <w:highlight w:val="none"/>
                <w:lang w:val="en-US" w:eastAsia="zh-CN"/>
              </w:rPr>
              <w:t xml:space="preserve">拟投入的远程病理诊断平台需</w:t>
            </w:r>
            <w:r>
              <w:rPr>
                <w:rFonts w:hint="eastAsia" w:ascii="宋体" w:hAnsi="宋体" w:eastAsia="宋体" w:cs="宋体"/>
                <w:b w:val="0"/>
                <w:bCs/>
                <w:color w:val="000000"/>
                <w:sz w:val="24"/>
                <w:szCs w:val="24"/>
                <w:highlight w:val="none"/>
              </w:rPr>
              <w:t xml:space="preserve">具有丰富的远程病理诊断</w:t>
            </w:r>
            <w:r>
              <w:rPr>
                <w:rFonts w:hint="eastAsia" w:ascii="宋体" w:hAnsi="宋体" w:eastAsia="宋体" w:cs="宋体"/>
                <w:b w:val="0"/>
                <w:bCs/>
                <w:color w:val="000000"/>
                <w:sz w:val="24"/>
                <w:szCs w:val="24"/>
                <w:highlight w:val="none"/>
                <w:lang w:val="en-US" w:eastAsia="zh-CN"/>
              </w:rPr>
              <w:t xml:space="preserve">经验</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根据投标人拟投入的远程病理诊断平台已完成的远程病理诊断数量，每50万例得1分，本项最多得5分，不提供不得分。</w:t>
            </w:r>
            <w:r>
              <w:rPr>
                <w:rFonts w:hint="eastAsia" w:ascii="宋体" w:hAnsi="宋体" w:eastAsia="宋体" w:cs="宋体"/>
                <w:color w:val="000000"/>
                <w:sz w:val="24"/>
                <w:szCs w:val="24"/>
                <w:highlight w:val="none"/>
                <w:lang w:val="en-US" w:eastAsia="zh-CN" w:bidi="ar-SA"/>
              </w:rPr>
            </w:r>
            <w:r/>
          </w:p>
        </w:tc>
        <w:tc>
          <w:tcPr>
            <w:tcW w:w="1388" w:type="dxa"/>
            <w:vAlign w:val="center"/>
            <w:textDirection w:val="lrTb"/>
            <w:noWrap w:val="false"/>
          </w:tcPr>
          <w:p>
            <w:pPr>
              <w:pStyle w:val="859"/>
              <w:jc w:val="left"/>
              <w:spacing w:line="36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提供</w:t>
            </w:r>
            <w:r>
              <w:rPr>
                <w:rFonts w:hint="eastAsia" w:ascii="宋体" w:hAnsi="宋体" w:eastAsia="宋体" w:cs="宋体"/>
                <w:b w:val="0"/>
                <w:bCs/>
                <w:color w:val="000000"/>
                <w:sz w:val="24"/>
                <w:szCs w:val="24"/>
                <w:highlight w:val="none"/>
                <w:lang w:val="en-US" w:eastAsia="zh-CN"/>
              </w:rPr>
              <w:t xml:space="preserve">系统诊断截图证明并加盖公章。</w:t>
            </w:r>
            <w:r>
              <w:rPr>
                <w:rFonts w:hint="eastAsia" w:ascii="宋体" w:hAnsi="宋体" w:eastAsia="宋体" w:cs="宋体"/>
                <w:b w:val="0"/>
                <w:bCs/>
                <w:color w:val="000000"/>
                <w:sz w:val="24"/>
                <w:szCs w:val="24"/>
                <w:highlight w:val="none"/>
                <w:lang w:val="en-US" w:eastAsia="zh-CN"/>
              </w:rPr>
            </w:r>
            <w:r/>
          </w:p>
        </w:tc>
      </w:tr>
      <w:tr>
        <w:trPr>
          <w:trHeight w:val="90"/>
        </w:trPr>
        <w:tc>
          <w:tcPr>
            <w:tcW w:w="356"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bidi="ar-SA"/>
              </w:rPr>
            </w:r>
            <w:r/>
          </w:p>
        </w:tc>
        <w:tc>
          <w:tcPr>
            <w:tcW w:w="661"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同类项目业绩</w:t>
            </w:r>
            <w:r>
              <w:rPr>
                <w:rFonts w:hint="eastAsia" w:ascii="宋体" w:hAnsi="宋体" w:eastAsia="宋体" w:cs="宋体"/>
                <w:color w:val="000000"/>
                <w:sz w:val="24"/>
                <w:szCs w:val="24"/>
                <w:highlight w:val="none"/>
                <w:lang w:val="en-US" w:eastAsia="zh-CN"/>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2181" w:type="dxa"/>
            <w:vAlign w:val="center"/>
            <w:textDirection w:val="lrTb"/>
            <w:noWrap w:val="false"/>
          </w:tcPr>
          <w:p>
            <w:pPr>
              <w:pStyle w:val="859"/>
              <w:jc w:val="left"/>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shd w:val="clear" w:color="auto" w:fill="auto"/>
                <w:lang w:val="en-US" w:eastAsia="zh-CN"/>
              </w:rPr>
              <w:t xml:space="preserve">投标人在自2022年1月1日以来，承担过类似项目服务业绩的（</w:t>
            </w:r>
            <w:r>
              <w:rPr>
                <w:rFonts w:hint="eastAsia" w:ascii="宋体" w:hAnsi="宋体" w:eastAsia="宋体" w:cs="宋体"/>
                <w:b w:val="0"/>
                <w:bCs/>
                <w:color w:val="000000"/>
                <w:sz w:val="24"/>
                <w:szCs w:val="24"/>
                <w:highlight w:val="none"/>
                <w:shd w:val="clear" w:color="auto" w:fill="auto"/>
                <w:lang w:val="en-US" w:eastAsia="zh-CN"/>
              </w:rPr>
              <w:t xml:space="preserve">需涵盖“病理平台建设、技术服务合作”等相关建设</w:t>
            </w:r>
            <w:r>
              <w:rPr>
                <w:rFonts w:hint="eastAsia" w:ascii="宋体" w:hAnsi="宋体" w:eastAsia="宋体" w:cs="宋体"/>
                <w:b w:val="0"/>
                <w:bCs/>
                <w:color w:val="000000"/>
                <w:sz w:val="24"/>
                <w:szCs w:val="24"/>
                <w:highlight w:val="none"/>
                <w:shd w:val="clear" w:color="auto" w:fill="auto"/>
                <w:lang w:val="en-US" w:eastAsia="zh-CN"/>
              </w:rPr>
              <w:t xml:space="preserve">），每提供一个得1分，本项最高得5分。</w:t>
            </w:r>
            <w:r>
              <w:rPr>
                <w:rFonts w:hint="eastAsia" w:ascii="宋体" w:hAnsi="宋体" w:eastAsia="宋体" w:cs="宋体"/>
                <w:color w:val="000000"/>
                <w:sz w:val="24"/>
                <w:szCs w:val="24"/>
                <w:highlight w:val="none"/>
                <w:lang w:val="en-US" w:eastAsia="zh-CN" w:bidi="ar-SA"/>
              </w:rPr>
            </w:r>
            <w:r/>
          </w:p>
        </w:tc>
        <w:tc>
          <w:tcPr>
            <w:tcW w:w="1388" w:type="dxa"/>
            <w:vAlign w:val="center"/>
            <w:textDirection w:val="lrTb"/>
            <w:noWrap w:val="false"/>
          </w:tcPr>
          <w:p>
            <w:pPr>
              <w:pStyle w:val="859"/>
              <w:numPr>
                <w:ilvl w:val="0"/>
                <w:numId w:val="15"/>
              </w:numPr>
              <w:jc w:val="left"/>
              <w:spacing w:line="360" w:lineRule="exact"/>
              <w:tabs>
                <w:tab w:val="left" w:pos="312" w:leader="none"/>
              </w:tabs>
              <w:rPr>
                <w:rFonts w:hint="eastAsia" w:ascii="宋体" w:hAnsi="宋体" w:eastAsia="宋体" w:cs="宋体"/>
                <w:b w:val="0"/>
                <w:bCs/>
                <w:color w:val="000000"/>
                <w:sz w:val="24"/>
                <w:szCs w:val="24"/>
                <w:highlight w:val="none"/>
                <w:shd w:val="clear" w:color="auto" w:fill="auto"/>
                <w:lang w:val="en-US" w:eastAsia="zh-CN"/>
              </w:rPr>
            </w:pPr>
            <w:r>
              <w:rPr>
                <w:rFonts w:hint="eastAsia" w:ascii="宋体" w:hAnsi="宋体" w:eastAsia="宋体" w:cs="宋体"/>
                <w:b w:val="0"/>
                <w:bCs/>
                <w:color w:val="000000"/>
                <w:sz w:val="24"/>
                <w:szCs w:val="24"/>
                <w:highlight w:val="none"/>
                <w:shd w:val="clear" w:color="auto" w:fill="auto"/>
                <w:lang w:val="en-US" w:eastAsia="zh-CN"/>
              </w:rPr>
              <w:t xml:space="preserve">提供委托协议（或合同）原件扫描件。</w:t>
            </w:r>
            <w:r>
              <w:rPr>
                <w:rFonts w:hint="eastAsia" w:ascii="宋体" w:hAnsi="宋体" w:eastAsia="宋体" w:cs="宋体"/>
                <w:b w:val="0"/>
                <w:bCs/>
                <w:color w:val="000000"/>
                <w:sz w:val="24"/>
                <w:szCs w:val="24"/>
                <w:highlight w:val="none"/>
                <w:shd w:val="clear" w:color="auto" w:fill="auto"/>
                <w:lang w:val="en-US" w:eastAsia="zh-CN"/>
              </w:rPr>
            </w:r>
            <w:r/>
          </w:p>
          <w:p>
            <w:pPr>
              <w:pStyle w:val="859"/>
              <w:numPr>
                <w:ilvl w:val="0"/>
                <w:numId w:val="15"/>
              </w:numPr>
              <w:jc w:val="left"/>
              <w:spacing w:line="360" w:lineRule="exact"/>
              <w:tabs>
                <w:tab w:val="left" w:pos="312" w:leader="none"/>
              </w:tabs>
              <w:rPr>
                <w:rFonts w:hint="eastAsia" w:ascii="宋体" w:hAnsi="宋体" w:eastAsia="宋体" w:cs="宋体"/>
                <w:b w:val="0"/>
                <w:bCs/>
                <w:color w:val="000000"/>
                <w:sz w:val="24"/>
                <w:szCs w:val="24"/>
                <w:highlight w:val="none"/>
                <w:shd w:val="clear" w:color="auto" w:fill="auto"/>
                <w:lang w:val="en-US" w:eastAsia="zh-CN"/>
              </w:rPr>
            </w:pPr>
            <w:r>
              <w:rPr>
                <w:rFonts w:hint="eastAsia" w:ascii="宋体" w:hAnsi="宋体" w:eastAsia="宋体" w:cs="宋体"/>
                <w:b w:val="0"/>
                <w:bCs/>
                <w:color w:val="000000"/>
                <w:sz w:val="24"/>
                <w:szCs w:val="24"/>
                <w:highlight w:val="none"/>
                <w:shd w:val="clear" w:color="auto" w:fill="auto"/>
                <w:lang w:val="en-US" w:eastAsia="zh-CN"/>
              </w:rPr>
              <w:t xml:space="preserve">时间以委托协议（或合同）签订时间为准。</w:t>
            </w:r>
            <w:r>
              <w:rPr>
                <w:rFonts w:hint="eastAsia" w:ascii="宋体" w:hAnsi="宋体" w:eastAsia="宋体" w:cs="宋体"/>
                <w:b w:val="0"/>
                <w:bCs/>
                <w:color w:val="000000"/>
                <w:sz w:val="24"/>
                <w:szCs w:val="24"/>
                <w:highlight w:val="none"/>
                <w:shd w:val="clear" w:color="auto" w:fill="auto"/>
                <w:lang w:val="en-US" w:eastAsia="zh-CN"/>
              </w:rPr>
            </w:r>
            <w:r/>
          </w:p>
          <w:p>
            <w:pPr>
              <w:pStyle w:val="859"/>
              <w:numPr>
                <w:ilvl w:val="0"/>
                <w:numId w:val="15"/>
              </w:numPr>
              <w:jc w:val="left"/>
              <w:spacing w:line="360" w:lineRule="exact"/>
              <w:tabs>
                <w:tab w:val="left" w:pos="312" w:leader="none"/>
              </w:tabs>
              <w:rPr>
                <w:rFonts w:hint="eastAsia" w:ascii="宋体" w:hAnsi="宋体" w:eastAsia="宋体" w:cs="宋体"/>
                <w:b w:val="0"/>
                <w:bCs/>
                <w:color w:val="000000"/>
                <w:sz w:val="24"/>
                <w:szCs w:val="24"/>
                <w:highlight w:val="none"/>
                <w:shd w:val="clear" w:color="auto" w:fill="auto"/>
                <w:lang w:val="en-US" w:eastAsia="zh-CN"/>
              </w:rPr>
            </w:pPr>
            <w:r>
              <w:rPr>
                <w:rFonts w:hint="eastAsia" w:ascii="宋体" w:hAnsi="宋体" w:eastAsia="宋体" w:cs="宋体"/>
                <w:b w:val="0"/>
                <w:bCs/>
                <w:color w:val="000000"/>
                <w:sz w:val="24"/>
                <w:szCs w:val="24"/>
                <w:highlight w:val="none"/>
                <w:shd w:val="clear" w:color="auto" w:fill="auto"/>
                <w:lang w:val="en-US" w:eastAsia="zh-CN"/>
              </w:rPr>
              <w:t xml:space="preserve">同一医疗机构的业绩，限评1项。</w:t>
            </w:r>
            <w:r>
              <w:rPr>
                <w:rFonts w:hint="eastAsia" w:ascii="宋体" w:hAnsi="宋体" w:eastAsia="宋体" w:cs="宋体"/>
                <w:b w:val="0"/>
                <w:bCs/>
                <w:color w:val="000000"/>
                <w:sz w:val="24"/>
                <w:szCs w:val="24"/>
                <w:highlight w:val="none"/>
                <w:shd w:val="clear" w:color="auto" w:fill="auto"/>
                <w:lang w:val="en-US" w:eastAsia="zh-CN"/>
              </w:rPr>
            </w:r>
            <w:r/>
          </w:p>
        </w:tc>
      </w:tr>
      <w:tr>
        <w:trPr>
          <w:trHeight w:val="90"/>
        </w:trPr>
        <w:tc>
          <w:tcPr>
            <w:tcW w:w="356"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3.5</w:t>
            </w:r>
            <w:r>
              <w:rPr>
                <w:rFonts w:hint="eastAsia" w:ascii="宋体" w:hAnsi="宋体" w:eastAsia="宋体" w:cs="宋体"/>
                <w:color w:val="000000"/>
                <w:sz w:val="24"/>
                <w:szCs w:val="24"/>
                <w:highlight w:val="none"/>
                <w:lang w:val="en-US" w:eastAsia="zh-CN" w:bidi="ar-SA"/>
              </w:rPr>
            </w:r>
            <w:r/>
          </w:p>
        </w:tc>
        <w:tc>
          <w:tcPr>
            <w:tcW w:w="661"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规范化报告能力</w:t>
            </w:r>
            <w:r>
              <w:rPr>
                <w:rFonts w:hint="eastAsia" w:ascii="宋体" w:hAnsi="宋体" w:eastAsia="宋体" w:cs="宋体"/>
                <w:color w:val="000000"/>
                <w:sz w:val="24"/>
                <w:szCs w:val="24"/>
                <w:highlight w:val="none"/>
                <w:lang w:val="en-US" w:eastAsia="zh-CN"/>
              </w:rPr>
            </w:r>
            <w:r/>
          </w:p>
        </w:tc>
        <w:tc>
          <w:tcPr>
            <w:tcW w:w="412" w:type="dxa"/>
            <w:vAlign w:val="center"/>
            <w:textDirection w:val="lrTb"/>
            <w:noWrap w:val="false"/>
          </w:tcPr>
          <w:p>
            <w:pPr>
              <w:pStyle w:val="859"/>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2181" w:type="dxa"/>
            <w:vAlign w:val="center"/>
            <w:textDirection w:val="lrTb"/>
            <w:noWrap w:val="false"/>
          </w:tcPr>
          <w:p>
            <w:pPr>
              <w:pStyle w:val="859"/>
              <w:jc w:val="left"/>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shd w:val="clear" w:color="auto" w:fill="auto"/>
                <w:lang w:val="en-US" w:eastAsia="zh-CN"/>
              </w:rPr>
              <w:t xml:space="preserve">投标人拟投入的病理诊断系统，具备结构化病理系统模块，</w:t>
            </w:r>
            <w:r>
              <w:rPr>
                <w:rFonts w:hint="eastAsia" w:ascii="宋体" w:hAnsi="宋体" w:eastAsia="宋体" w:cs="宋体"/>
                <w:b w:val="0"/>
                <w:bCs/>
                <w:color w:val="000000"/>
                <w:sz w:val="24"/>
                <w:szCs w:val="24"/>
                <w:highlight w:val="none"/>
                <w:lang w:val="en-US" w:eastAsia="zh-CN"/>
              </w:rPr>
              <w:t xml:space="preserve">每个病种模块得0.5分，本项最高得5分</w:t>
            </w: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c>
          <w:tcPr>
            <w:tcW w:w="1388" w:type="dxa"/>
            <w:vAlign w:val="center"/>
            <w:textDirection w:val="lrTb"/>
            <w:noWrap w:val="false"/>
          </w:tcPr>
          <w:p>
            <w:pPr>
              <w:pStyle w:val="859"/>
              <w:jc w:val="left"/>
              <w:spacing w:line="360" w:lineRule="exact"/>
              <w:rPr>
                <w:rFonts w:hint="eastAsia" w:ascii="宋体" w:hAnsi="宋体" w:eastAsia="宋体" w:cs="宋体"/>
                <w:b w:val="0"/>
                <w:bCs/>
                <w:color w:val="000000"/>
                <w:sz w:val="24"/>
                <w:szCs w:val="24"/>
                <w:highlight w:val="none"/>
                <w:shd w:val="clear" w:color="auto" w:fill="auto"/>
                <w:lang w:val="en-US" w:eastAsia="zh-CN"/>
              </w:rPr>
            </w:pPr>
            <w:r>
              <w:rPr>
                <w:rFonts w:hint="eastAsia" w:ascii="宋体" w:hAnsi="宋体" w:eastAsia="宋体" w:cs="宋体"/>
                <w:b w:val="0"/>
                <w:bCs/>
                <w:color w:val="000000"/>
                <w:sz w:val="24"/>
                <w:szCs w:val="24"/>
                <w:highlight w:val="none"/>
                <w:lang w:eastAsia="zh-CN"/>
              </w:rPr>
              <w:t xml:space="preserve">提供</w:t>
            </w:r>
            <w:r>
              <w:rPr>
                <w:rFonts w:hint="eastAsia" w:ascii="宋体" w:hAnsi="宋体" w:eastAsia="宋体" w:cs="宋体"/>
                <w:b w:val="0"/>
                <w:bCs/>
                <w:color w:val="000000"/>
                <w:sz w:val="24"/>
                <w:szCs w:val="24"/>
                <w:highlight w:val="none"/>
                <w:lang w:val="en-US" w:eastAsia="zh-CN"/>
              </w:rPr>
              <w:t xml:space="preserve">软件著作权证书</w:t>
            </w:r>
            <w:r>
              <w:rPr>
                <w:rFonts w:hint="eastAsia" w:ascii="宋体" w:hAnsi="宋体" w:eastAsia="宋体" w:cs="宋体"/>
                <w:b w:val="0"/>
                <w:bCs/>
                <w:color w:val="000000"/>
                <w:sz w:val="24"/>
                <w:szCs w:val="24"/>
                <w:highlight w:val="none"/>
                <w:shd w:val="clear" w:color="auto" w:fill="auto"/>
                <w:lang w:val="en-US" w:eastAsia="zh-CN"/>
              </w:rPr>
            </w:r>
            <w:r/>
          </w:p>
        </w:tc>
      </w:tr>
    </w:tbl>
    <w:p>
      <w:pPr>
        <w:pStyle w:val="859"/>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85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color w:val="000000"/>
          <w:sz w:val="36"/>
          <w:szCs w:val="36"/>
          <w:highlight w:val="none"/>
        </w:rPr>
        <w:t xml:space="preserve">第五章   采购需求</w:t>
      </w:r>
      <w:bookmarkEnd w:id="814"/>
      <w:r>
        <w:rPr>
          <w:rFonts w:ascii="宋体" w:hAnsi="宋体"/>
          <w:b/>
          <w:color w:val="000000"/>
          <w:sz w:val="36"/>
          <w:szCs w:val="36"/>
          <w:highlight w:val="none"/>
        </w:rPr>
      </w:r>
      <w:r/>
    </w:p>
    <w:p>
      <w:pPr>
        <w:pStyle w:val="954"/>
        <w:numPr>
          <w:ilvl w:val="0"/>
          <w:numId w:val="0"/>
        </w:numPr>
        <w:contextualSpacing/>
        <w:ind w:left="-2" w:firstLine="482"/>
        <w:spacing w:line="360" w:lineRule="auto"/>
        <w:tabs>
          <w:tab w:val="left" w:pos="567" w:leader="none"/>
        </w:tabs>
        <w:rPr>
          <w:rFonts w:hint="eastAsia"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lang w:val="en-US" w:eastAsia="zh-CN" w:bidi="ar-SA"/>
        </w:rPr>
        <w:t xml:space="preserve">一、</w:t>
      </w:r>
      <w:r>
        <w:rPr>
          <w:rFonts w:hint="eastAsia" w:ascii="宋体" w:hAnsi="宋体" w:eastAsia="宋体" w:cs="Times New Roman"/>
          <w:b/>
          <w:color w:val="000000"/>
          <w:sz w:val="24"/>
          <w:szCs w:val="24"/>
          <w:highlight w:val="none"/>
        </w:rPr>
        <w:t xml:space="preserve">项目概况</w:t>
      </w:r>
      <w:r>
        <w:rPr>
          <w:rFonts w:hint="eastAsia" w:ascii="宋体" w:hAnsi="宋体" w:eastAsia="宋体" w:cs="Times New Roman"/>
          <w:b/>
          <w:color w:val="000000"/>
          <w:sz w:val="24"/>
          <w:szCs w:val="24"/>
          <w:highlight w:val="none"/>
        </w:rPr>
      </w:r>
      <w:r/>
    </w:p>
    <w:p>
      <w:pPr>
        <w:pStyle w:val="859"/>
        <w:contextualSpacing/>
        <w:ind w:firstLine="482"/>
        <w:keepLines w:val="0"/>
        <w:keepNext w:val="0"/>
        <w:pageBreakBefore w:val="0"/>
        <w:spacing w:line="440" w:lineRule="exact"/>
        <w:widowControl w:val="off"/>
        <w:tabs>
          <w:tab w:val="left" w:pos="567" w:leader="none"/>
        </w:tabs>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（一）项目</w:t>
      </w:r>
      <w:r>
        <w:rPr>
          <w:rFonts w:ascii="宋体" w:hAnsi="宋体" w:eastAsia="宋体"/>
          <w:b/>
          <w:bCs/>
          <w:color w:val="000000"/>
          <w:sz w:val="24"/>
          <w:szCs w:val="24"/>
          <w:highlight w:val="none"/>
        </w:rPr>
        <w:t xml:space="preserve">背景</w:t>
      </w:r>
      <w:r>
        <w:rPr>
          <w:rFonts w:ascii="宋体" w:hAnsi="宋体" w:eastAsia="宋体"/>
          <w:b/>
          <w:bCs/>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为了持续改善</w:t>
      </w:r>
      <w:r>
        <w:rPr>
          <w:rFonts w:hint="eastAsia" w:ascii="宋体" w:hAnsi="宋体" w:eastAsia="宋体"/>
          <w:color w:val="000000"/>
          <w:sz w:val="24"/>
          <w:szCs w:val="24"/>
          <w:highlight w:val="none"/>
          <w:lang w:val="en-US" w:eastAsia="zh-CN"/>
        </w:rPr>
        <w:t xml:space="preserve">常州市武进人民医院病理科的服务能力，</w:t>
      </w:r>
      <w:r>
        <w:rPr>
          <w:rFonts w:hint="eastAsia" w:ascii="宋体" w:hAnsi="宋体" w:eastAsia="宋体"/>
          <w:color w:val="000000"/>
          <w:sz w:val="24"/>
          <w:szCs w:val="24"/>
          <w:highlight w:val="none"/>
        </w:rPr>
        <w:t xml:space="preserve">拟通过本次招标活动，遴选具备病理诊断服务能力的第三方</w:t>
      </w:r>
      <w:r>
        <w:rPr>
          <w:rFonts w:hint="eastAsia" w:ascii="宋体" w:hAnsi="宋体" w:eastAsia="宋体"/>
          <w:color w:val="000000"/>
          <w:sz w:val="24"/>
          <w:szCs w:val="24"/>
          <w:highlight w:val="none"/>
          <w:lang w:val="en-US" w:eastAsia="zh-CN"/>
        </w:rPr>
        <w:t xml:space="preserve">医疗机构</w:t>
      </w:r>
      <w:r>
        <w:rPr>
          <w:rFonts w:hint="eastAsia" w:ascii="宋体" w:hAnsi="宋体" w:eastAsia="宋体"/>
          <w:color w:val="000000"/>
          <w:sz w:val="24"/>
          <w:szCs w:val="24"/>
          <w:highlight w:val="none"/>
        </w:rPr>
        <w:t xml:space="preserve">（以下简称“服务方”），</w:t>
      </w:r>
      <w:r>
        <w:rPr>
          <w:rFonts w:hint="eastAsia" w:ascii="宋体" w:hAnsi="宋体" w:eastAsia="宋体"/>
          <w:color w:val="000000"/>
          <w:sz w:val="24"/>
          <w:szCs w:val="24"/>
          <w:highlight w:val="none"/>
          <w:lang w:val="en-US" w:eastAsia="zh-CN"/>
        </w:rPr>
        <w:t xml:space="preserve">与武进人民医院</w:t>
      </w:r>
      <w:r>
        <w:rPr>
          <w:rFonts w:hint="eastAsia" w:ascii="宋体" w:hAnsi="宋体" w:eastAsia="宋体"/>
          <w:color w:val="000000"/>
          <w:sz w:val="24"/>
          <w:szCs w:val="24"/>
          <w:highlight w:val="none"/>
        </w:rPr>
        <w:t xml:space="preserve">共同</w:t>
      </w:r>
      <w:r>
        <w:rPr>
          <w:rFonts w:hint="eastAsia" w:ascii="宋体" w:hAnsi="宋体" w:eastAsia="宋体"/>
          <w:color w:val="000000"/>
          <w:sz w:val="24"/>
          <w:szCs w:val="24"/>
          <w:highlight w:val="none"/>
          <w:lang w:val="en-US" w:eastAsia="zh-CN"/>
        </w:rPr>
        <w:t xml:space="preserve">完善</w:t>
      </w:r>
      <w:r>
        <w:rPr>
          <w:rFonts w:hint="eastAsia" w:ascii="宋体" w:hAnsi="宋体" w:eastAsia="宋体"/>
          <w:color w:val="000000"/>
          <w:sz w:val="24"/>
          <w:szCs w:val="24"/>
          <w:highlight w:val="none"/>
        </w:rPr>
        <w:t xml:space="preserve">病理</w:t>
      </w:r>
      <w:r>
        <w:rPr>
          <w:rFonts w:hint="eastAsia" w:ascii="宋体" w:hAnsi="宋体" w:eastAsia="宋体"/>
          <w:color w:val="000000"/>
          <w:sz w:val="24"/>
          <w:szCs w:val="24"/>
          <w:highlight w:val="none"/>
          <w:lang w:val="en-US" w:eastAsia="zh-CN"/>
        </w:rPr>
        <w:t xml:space="preserve">科的建设与配套服务</w:t>
      </w:r>
      <w:r>
        <w:rPr>
          <w:rFonts w:hint="eastAsia" w:ascii="宋体" w:hAnsi="宋体" w:eastAsia="宋体"/>
          <w:color w:val="000000"/>
          <w:sz w:val="24"/>
          <w:szCs w:val="24"/>
          <w:highlight w:val="none"/>
        </w:rPr>
        <w:t xml:space="preserve">，系统推进优质高效的</w:t>
      </w:r>
      <w:r>
        <w:rPr>
          <w:rFonts w:hint="eastAsia" w:ascii="宋体" w:hAnsi="宋体" w:eastAsia="宋体"/>
          <w:color w:val="000000"/>
          <w:sz w:val="24"/>
          <w:szCs w:val="24"/>
          <w:highlight w:val="none"/>
          <w:lang w:val="en-US" w:eastAsia="zh-CN"/>
        </w:rPr>
        <w:t xml:space="preserve">科室</w:t>
      </w:r>
      <w:r>
        <w:rPr>
          <w:rFonts w:hint="eastAsia" w:ascii="宋体" w:hAnsi="宋体" w:eastAsia="宋体"/>
          <w:color w:val="000000"/>
          <w:sz w:val="24"/>
          <w:szCs w:val="24"/>
          <w:highlight w:val="none"/>
        </w:rPr>
        <w:t xml:space="preserve">建设。</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此合作项目</w:t>
      </w:r>
      <w:r>
        <w:rPr>
          <w:rFonts w:hint="eastAsia" w:ascii="宋体" w:hAnsi="宋体" w:eastAsia="宋体"/>
          <w:color w:val="000000"/>
          <w:sz w:val="24"/>
          <w:szCs w:val="24"/>
          <w:highlight w:val="none"/>
        </w:rPr>
        <w:t xml:space="preserve">基于</w:t>
      </w:r>
      <w:r>
        <w:rPr>
          <w:rFonts w:hint="eastAsia" w:ascii="宋体" w:hAnsi="宋体" w:eastAsia="宋体"/>
          <w:color w:val="000000"/>
          <w:sz w:val="24"/>
          <w:szCs w:val="24"/>
          <w:highlight w:val="none"/>
          <w:lang w:val="en-US" w:eastAsia="zh-CN"/>
        </w:rPr>
        <w:t xml:space="preserve">常州市武进人民医院病理科</w:t>
      </w:r>
      <w:r>
        <w:rPr>
          <w:rFonts w:hint="eastAsia" w:ascii="宋体" w:hAnsi="宋体" w:eastAsia="宋体"/>
          <w:color w:val="000000"/>
          <w:sz w:val="24"/>
          <w:szCs w:val="24"/>
          <w:highlight w:val="none"/>
        </w:rPr>
        <w:t xml:space="preserve">，通过</w:t>
      </w:r>
      <w:r>
        <w:rPr>
          <w:rFonts w:hint="eastAsia" w:ascii="宋体" w:hAnsi="宋体" w:eastAsia="宋体"/>
          <w:color w:val="000000"/>
          <w:sz w:val="24"/>
          <w:szCs w:val="24"/>
          <w:highlight w:val="none"/>
          <w:lang w:val="en-US" w:eastAsia="zh-CN"/>
        </w:rPr>
        <w:t xml:space="preserve">新平台建设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医技人员支持</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病理科运营</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质量控制、科研支持及专业信息化体系建设</w:t>
      </w:r>
      <w:r>
        <w:rPr>
          <w:rFonts w:hint="eastAsia" w:ascii="宋体" w:hAnsi="宋体" w:eastAsia="宋体"/>
          <w:color w:val="000000"/>
          <w:sz w:val="24"/>
          <w:szCs w:val="24"/>
          <w:highlight w:val="none"/>
        </w:rPr>
        <w:t xml:space="preserve">服务，</w:t>
      </w:r>
      <w:r>
        <w:rPr>
          <w:rFonts w:hint="eastAsia" w:ascii="宋体" w:hAnsi="宋体" w:eastAsia="宋体"/>
          <w:color w:val="000000"/>
          <w:sz w:val="24"/>
          <w:szCs w:val="24"/>
          <w:highlight w:val="none"/>
          <w:lang w:val="en-US" w:eastAsia="zh-CN"/>
        </w:rPr>
        <w:t xml:space="preserve">为临床科室及各级医疗机构</w:t>
      </w:r>
      <w:r>
        <w:rPr>
          <w:rFonts w:hint="eastAsia" w:ascii="宋体" w:hAnsi="宋体" w:eastAsia="宋体"/>
          <w:color w:val="000000"/>
          <w:sz w:val="24"/>
          <w:szCs w:val="24"/>
          <w:highlight w:val="none"/>
        </w:rPr>
        <w:t xml:space="preserve">提供标准化、</w:t>
      </w:r>
      <w:r>
        <w:rPr>
          <w:rFonts w:hint="eastAsia" w:ascii="宋体" w:hAnsi="宋体" w:eastAsia="宋体"/>
          <w:color w:val="000000"/>
          <w:sz w:val="24"/>
          <w:szCs w:val="24"/>
          <w:highlight w:val="none"/>
          <w:lang w:val="en-US" w:eastAsia="zh-CN"/>
        </w:rPr>
        <w:t xml:space="preserve">高</w:t>
      </w:r>
      <w:r>
        <w:rPr>
          <w:rFonts w:hint="eastAsia" w:ascii="宋体" w:hAnsi="宋体" w:eastAsia="宋体"/>
          <w:color w:val="000000"/>
          <w:sz w:val="24"/>
          <w:szCs w:val="24"/>
          <w:highlight w:val="none"/>
        </w:rPr>
        <w:t xml:space="preserve">质化的</w:t>
      </w:r>
      <w:r>
        <w:rPr>
          <w:rFonts w:hint="eastAsia" w:ascii="宋体" w:hAnsi="宋体" w:eastAsia="宋体"/>
          <w:color w:val="000000"/>
          <w:sz w:val="24"/>
          <w:szCs w:val="24"/>
          <w:highlight w:val="none"/>
          <w:lang w:val="en-US" w:eastAsia="zh-CN"/>
        </w:rPr>
        <w:t xml:space="preserve">病理诊断</w:t>
      </w:r>
      <w:r>
        <w:rPr>
          <w:rFonts w:hint="eastAsia" w:ascii="宋体" w:hAnsi="宋体" w:eastAsia="宋体"/>
          <w:color w:val="000000"/>
          <w:sz w:val="24"/>
          <w:szCs w:val="24"/>
          <w:highlight w:val="none"/>
        </w:rPr>
        <w:t xml:space="preserve">服务。</w:t>
      </w:r>
      <w:r>
        <w:rPr>
          <w:rFonts w:ascii="宋体" w:hAnsi="宋体" w:eastAsia="宋体"/>
          <w:color w:val="000000"/>
          <w:sz w:val="24"/>
          <w:szCs w:val="24"/>
          <w:highlight w:val="none"/>
        </w:rPr>
      </w:r>
      <w:r/>
    </w:p>
    <w:p>
      <w:pPr>
        <w:pStyle w:val="859"/>
        <w:contextualSpacing/>
        <w:ind w:firstLine="482"/>
        <w:keepLines w:val="0"/>
        <w:keepNext w:val="0"/>
        <w:pageBreakBefore w:val="0"/>
        <w:spacing w:line="440" w:lineRule="exact"/>
        <w:widowControl w:val="off"/>
        <w:tabs>
          <w:tab w:val="left" w:pos="567" w:leader="none"/>
        </w:tabs>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（二）基本</w:t>
      </w:r>
      <w:r>
        <w:rPr>
          <w:rFonts w:ascii="宋体" w:hAnsi="宋体" w:eastAsia="宋体"/>
          <w:b/>
          <w:bCs/>
          <w:color w:val="000000"/>
          <w:sz w:val="24"/>
          <w:szCs w:val="24"/>
          <w:highlight w:val="none"/>
        </w:rPr>
        <w:t xml:space="preserve">情况</w:t>
      </w:r>
      <w:r>
        <w:rPr>
          <w:rFonts w:ascii="宋体" w:hAnsi="宋体" w:eastAsia="宋体"/>
          <w:b/>
          <w:bCs/>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1.项目名称</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常州市武进人民医院</w:t>
      </w:r>
      <w:r>
        <w:rPr>
          <w:rFonts w:hint="eastAsia" w:ascii="宋体" w:hAnsi="宋体" w:eastAsia="宋体"/>
          <w:color w:val="000000"/>
          <w:sz w:val="24"/>
          <w:szCs w:val="24"/>
          <w:highlight w:val="none"/>
          <w:lang w:eastAsia="zh-CN"/>
        </w:rPr>
        <w:t xml:space="preserve">病理科服务能力提升服务项目</w:t>
      </w:r>
      <w:r>
        <w:rPr>
          <w:rFonts w:hint="eastAsia" w:ascii="宋体" w:hAnsi="宋体" w:eastAsia="宋体"/>
          <w:color w:val="000000"/>
          <w:sz w:val="24"/>
          <w:szCs w:val="24"/>
          <w:highlight w:val="none"/>
          <w:lang w:eastAsia="zh-CN"/>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项目</w:t>
      </w:r>
      <w:r>
        <w:rPr>
          <w:rFonts w:ascii="宋体" w:hAnsi="宋体" w:eastAsia="宋体"/>
          <w:color w:val="000000"/>
          <w:sz w:val="24"/>
          <w:szCs w:val="24"/>
          <w:highlight w:val="none"/>
        </w:rPr>
        <w:t xml:space="preserve">内容：</w:t>
      </w:r>
      <w:r>
        <w:rPr>
          <w:rFonts w:hint="eastAsia" w:ascii="宋体" w:hAnsi="宋体" w:eastAsia="宋体"/>
          <w:color w:val="000000"/>
          <w:sz w:val="24"/>
          <w:szCs w:val="24"/>
          <w:highlight w:val="none"/>
          <w:lang w:val="en-US" w:eastAsia="zh-CN"/>
        </w:rPr>
        <w:t xml:space="preserve">新平台建设</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医技人员支持</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病理科运营</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质量控制、科研支持及专业信息化体系建设</w:t>
      </w:r>
      <w:r>
        <w:rPr>
          <w:rFonts w:hint="eastAsia" w:ascii="宋体" w:hAnsi="宋体" w:eastAsia="宋体"/>
          <w:color w:val="000000"/>
          <w:sz w:val="24"/>
          <w:szCs w:val="24"/>
          <w:highlight w:val="none"/>
        </w:rPr>
        <w:t xml:space="preserve">服务。</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3.服务</w:t>
      </w:r>
      <w:r>
        <w:rPr>
          <w:rFonts w:ascii="宋体" w:hAnsi="宋体" w:eastAsia="宋体"/>
          <w:color w:val="000000"/>
          <w:sz w:val="24"/>
          <w:szCs w:val="24"/>
          <w:highlight w:val="none"/>
        </w:rPr>
        <w:t xml:space="preserve">范围：</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常州市武进人民医院</w:t>
      </w:r>
      <w:r>
        <w:rPr>
          <w:rFonts w:hint="eastAsia" w:ascii="宋体" w:hAnsi="宋体" w:eastAsia="宋体"/>
          <w:color w:val="000000"/>
          <w:sz w:val="24"/>
          <w:szCs w:val="24"/>
          <w:highlight w:val="none"/>
        </w:rPr>
        <w:t xml:space="preserve">向服务方购买病理</w:t>
      </w:r>
      <w:r>
        <w:rPr>
          <w:rFonts w:hint="eastAsia" w:ascii="宋体" w:hAnsi="宋体" w:eastAsia="宋体"/>
          <w:color w:val="000000"/>
          <w:sz w:val="24"/>
          <w:szCs w:val="24"/>
          <w:highlight w:val="none"/>
          <w:lang w:val="en-US" w:eastAsia="zh-CN"/>
        </w:rPr>
        <w:t xml:space="preserve">科建设及技术</w:t>
      </w:r>
      <w:r>
        <w:rPr>
          <w:rFonts w:hint="eastAsia" w:ascii="宋体" w:hAnsi="宋体" w:eastAsia="宋体"/>
          <w:color w:val="000000"/>
          <w:sz w:val="24"/>
          <w:szCs w:val="24"/>
          <w:highlight w:val="none"/>
        </w:rPr>
        <w:t xml:space="preserve">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包含病理科的新</w:t>
      </w:r>
      <w:r>
        <w:rPr>
          <w:rFonts w:hint="eastAsia" w:ascii="宋体" w:hAnsi="宋体" w:eastAsia="宋体" w:cs="Times New Roman"/>
          <w:color w:val="000000"/>
          <w:sz w:val="24"/>
          <w:szCs w:val="24"/>
          <w:highlight w:val="none"/>
          <w:lang w:val="en-US" w:eastAsia="zh-CN"/>
        </w:rPr>
        <w:t xml:space="preserve">平台建设、医技人员支持、病理专家支持、病理人才培训进修服务、病理科室管理运营服务、建立病理质控体系及管理、科研指导及科研技术服务及信息化体系建设。</w:t>
      </w:r>
      <w:r>
        <w:rPr>
          <w:rFonts w:ascii="宋体" w:hAnsi="宋体" w:eastAsia="宋体"/>
          <w:color w:val="000000"/>
          <w:sz w:val="24"/>
          <w:szCs w:val="24"/>
          <w:highlight w:val="none"/>
        </w:rPr>
      </w:r>
      <w:r/>
    </w:p>
    <w:p>
      <w:pPr>
        <w:pStyle w:val="859"/>
        <w:contextualSpacing/>
        <w:ind w:firstLine="482"/>
        <w:keepLines w:val="0"/>
        <w:keepNext w:val="0"/>
        <w:pageBreakBefore w:val="0"/>
        <w:spacing w:line="440" w:lineRule="exact"/>
        <w:widowControl w:val="off"/>
        <w:tabs>
          <w:tab w:val="left" w:pos="567" w:leader="none"/>
        </w:tabs>
        <w:rPr>
          <w:rFonts w:hint="eastAsia"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lang w:val="en-US" w:eastAsia="zh-CN"/>
        </w:rPr>
        <w:t xml:space="preserve">二、</w:t>
      </w:r>
      <w:r>
        <w:rPr>
          <w:rFonts w:hint="eastAsia" w:ascii="宋体" w:hAnsi="宋体" w:eastAsia="宋体" w:cs="Times New Roman"/>
          <w:b/>
          <w:bCs/>
          <w:color w:val="000000"/>
          <w:sz w:val="24"/>
          <w:szCs w:val="24"/>
          <w:highlight w:val="none"/>
          <w:lang w:val="en-US" w:eastAsia="zh-CN"/>
        </w:rPr>
        <w:t xml:space="preserve">技术</w:t>
      </w:r>
      <w:r>
        <w:rPr>
          <w:rFonts w:hint="eastAsia" w:ascii="宋体" w:hAnsi="宋体" w:eastAsia="宋体" w:cs="Times New Roman"/>
          <w:b/>
          <w:bCs/>
          <w:color w:val="000000"/>
          <w:sz w:val="24"/>
          <w:szCs w:val="24"/>
          <w:highlight w:val="none"/>
        </w:rPr>
        <w:t xml:space="preserve">要求</w:t>
      </w:r>
      <w:r>
        <w:rPr>
          <w:rFonts w:hint="eastAsia" w:ascii="宋体" w:hAnsi="宋体" w:eastAsia="宋体" w:cs="Times New Roman"/>
          <w:b/>
          <w:bCs/>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1.投标人具备</w:t>
      </w:r>
      <w:r>
        <w:rPr>
          <w:rFonts w:hint="eastAsia" w:ascii="宋体" w:hAnsi="宋体" w:eastAsia="宋体" w:cs="Times New Roman"/>
          <w:color w:val="000000"/>
          <w:sz w:val="24"/>
          <w:szCs w:val="24"/>
          <w:highlight w:val="none"/>
          <w:lang w:val="en-US" w:eastAsia="zh-CN"/>
        </w:rPr>
        <w:t xml:space="preserve">三甲医院</w:t>
      </w:r>
      <w:r>
        <w:rPr>
          <w:rFonts w:hint="eastAsia" w:ascii="宋体" w:hAnsi="宋体" w:eastAsia="宋体" w:cs="Times New Roman"/>
          <w:color w:val="000000"/>
          <w:sz w:val="24"/>
          <w:szCs w:val="24"/>
          <w:highlight w:val="none"/>
        </w:rPr>
        <w:t xml:space="preserve">病理</w:t>
      </w:r>
      <w:r>
        <w:rPr>
          <w:rFonts w:hint="eastAsia" w:ascii="宋体" w:hAnsi="宋体" w:eastAsia="宋体" w:cs="Times New Roman"/>
          <w:color w:val="000000"/>
          <w:sz w:val="24"/>
          <w:szCs w:val="24"/>
          <w:highlight w:val="none"/>
          <w:lang w:val="en-US" w:eastAsia="zh-CN"/>
        </w:rPr>
        <w:t xml:space="preserve">科</w:t>
      </w:r>
      <w:r>
        <w:rPr>
          <w:rFonts w:hint="eastAsia" w:ascii="宋体" w:hAnsi="宋体" w:eastAsia="宋体" w:cs="Times New Roman"/>
          <w:color w:val="000000"/>
          <w:sz w:val="24"/>
          <w:szCs w:val="24"/>
          <w:highlight w:val="none"/>
        </w:rPr>
        <w:t xml:space="preserve">建设及运营服务能力</w:t>
      </w:r>
      <w:r>
        <w:rPr>
          <w:rFonts w:hint="eastAsia" w:ascii="宋体" w:hAnsi="宋体" w:eastAsia="宋体" w:cs="Times New Roman"/>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投标人按需对</w:t>
      </w:r>
      <w:r>
        <w:rPr>
          <w:rFonts w:hint="eastAsia" w:ascii="宋体" w:hAnsi="宋体" w:eastAsia="宋体" w:cs="Times New Roman"/>
          <w:color w:val="000000"/>
          <w:sz w:val="24"/>
          <w:szCs w:val="24"/>
          <w:highlight w:val="none"/>
          <w:lang w:val="en-US" w:eastAsia="zh-CN"/>
        </w:rPr>
        <w:t xml:space="preserve">病理科</w:t>
      </w:r>
      <w:r>
        <w:rPr>
          <w:rFonts w:hint="eastAsia" w:ascii="宋体" w:hAnsi="宋体" w:eastAsia="宋体" w:cs="Times New Roman"/>
          <w:color w:val="000000"/>
          <w:sz w:val="24"/>
          <w:szCs w:val="24"/>
          <w:highlight w:val="none"/>
        </w:rPr>
        <w:t xml:space="preserve">实验室提供科学、规范的实验室流程设计与布局、</w:t>
      </w:r>
      <w:r>
        <w:rPr>
          <w:rFonts w:hint="eastAsia" w:ascii="宋体" w:hAnsi="宋体" w:eastAsia="宋体" w:cs="Times New Roman"/>
          <w:color w:val="000000"/>
          <w:sz w:val="24"/>
          <w:szCs w:val="24"/>
          <w:highlight w:val="none"/>
          <w:lang w:val="en-US" w:eastAsia="zh-CN"/>
        </w:rPr>
        <w:t xml:space="preserve">技术</w:t>
      </w:r>
      <w:r>
        <w:rPr>
          <w:rFonts w:hint="eastAsia" w:ascii="宋体" w:hAnsi="宋体" w:eastAsia="宋体" w:cs="Times New Roman"/>
          <w:color w:val="000000"/>
          <w:sz w:val="24"/>
          <w:szCs w:val="24"/>
          <w:highlight w:val="none"/>
        </w:rPr>
        <w:t xml:space="preserve">设备及技术人员配置、质量管理等，响应</w:t>
      </w:r>
      <w:r>
        <w:rPr>
          <w:rFonts w:hint="eastAsia" w:ascii="宋体" w:hAnsi="宋体" w:eastAsia="宋体" w:cs="Times New Roman"/>
          <w:color w:val="000000"/>
          <w:sz w:val="24"/>
          <w:szCs w:val="24"/>
          <w:highlight w:val="none"/>
          <w:lang w:val="en-US" w:eastAsia="zh-CN"/>
        </w:rPr>
        <w:t xml:space="preserve">临床</w:t>
      </w:r>
      <w:r>
        <w:rPr>
          <w:rFonts w:hint="eastAsia" w:ascii="宋体" w:hAnsi="宋体" w:eastAsia="宋体" w:cs="Times New Roman"/>
          <w:color w:val="000000"/>
          <w:sz w:val="24"/>
          <w:szCs w:val="24"/>
          <w:highlight w:val="none"/>
        </w:rPr>
        <w:t xml:space="preserve">全部病理诊断需求，</w:t>
      </w:r>
      <w:r>
        <w:rPr>
          <w:rFonts w:hint="eastAsia" w:ascii="宋体" w:hAnsi="宋体" w:eastAsia="宋体" w:cs="Times New Roman"/>
          <w:color w:val="000000"/>
          <w:sz w:val="24"/>
          <w:szCs w:val="24"/>
          <w:highlight w:val="none"/>
          <w:lang w:val="en-US" w:eastAsia="zh-CN"/>
        </w:rPr>
        <w:t xml:space="preserve">并有条件</w:t>
      </w:r>
      <w:r>
        <w:rPr>
          <w:rFonts w:hint="eastAsia" w:ascii="宋体" w:hAnsi="宋体" w:eastAsia="宋体" w:cs="Times New Roman"/>
          <w:color w:val="000000"/>
          <w:sz w:val="24"/>
          <w:szCs w:val="24"/>
          <w:highlight w:val="none"/>
        </w:rPr>
        <w:t xml:space="preserve">服务于辖区内政府办</w:t>
      </w:r>
      <w:r>
        <w:rPr>
          <w:rFonts w:hint="eastAsia" w:ascii="宋体" w:hAnsi="宋体" w:eastAsia="宋体" w:cs="Times New Roman"/>
          <w:color w:val="000000"/>
          <w:sz w:val="24"/>
          <w:szCs w:val="24"/>
          <w:highlight w:val="none"/>
          <w:lang w:val="en-US" w:eastAsia="zh-CN"/>
        </w:rPr>
        <w:t xml:space="preserve">其他</w:t>
      </w:r>
      <w:r>
        <w:rPr>
          <w:rFonts w:hint="eastAsia" w:ascii="宋体" w:hAnsi="宋体" w:eastAsia="宋体" w:cs="Times New Roman"/>
          <w:color w:val="000000"/>
          <w:sz w:val="24"/>
          <w:szCs w:val="24"/>
          <w:highlight w:val="none"/>
        </w:rPr>
        <w:t xml:space="preserve">医疗卫生机构。</w:t>
      </w:r>
      <w:r>
        <w:rPr>
          <w:rFonts w:hint="eastAsia" w:ascii="宋体" w:hAnsi="宋体" w:eastAsia="宋体" w:cs="Times New Roman"/>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.投标人具备</w:t>
      </w:r>
      <w:r>
        <w:rPr>
          <w:rFonts w:hint="eastAsia" w:ascii="宋体" w:hAnsi="宋体" w:eastAsia="宋体" w:cs="Times New Roman"/>
          <w:color w:val="000000"/>
          <w:sz w:val="24"/>
          <w:szCs w:val="24"/>
          <w:highlight w:val="none"/>
          <w:lang w:val="en-US" w:eastAsia="zh-CN"/>
        </w:rPr>
        <w:t xml:space="preserve">数智化病理科</w:t>
      </w:r>
      <w:r>
        <w:rPr>
          <w:rFonts w:hint="eastAsia" w:ascii="宋体" w:hAnsi="宋体" w:eastAsia="宋体" w:cs="Times New Roman"/>
          <w:color w:val="000000"/>
          <w:sz w:val="24"/>
          <w:szCs w:val="24"/>
          <w:highlight w:val="none"/>
        </w:rPr>
        <w:t xml:space="preserve">建设服务能力</w:t>
      </w:r>
      <w:r>
        <w:rPr>
          <w:rFonts w:hint="eastAsia" w:ascii="宋体" w:hAnsi="宋体" w:eastAsia="宋体" w:cs="Times New Roman"/>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投标人需</w:t>
      </w:r>
      <w:r>
        <w:rPr>
          <w:rFonts w:hint="eastAsia" w:ascii="宋体" w:hAnsi="宋体" w:eastAsia="宋体" w:cs="Times New Roman"/>
          <w:color w:val="000000"/>
          <w:sz w:val="24"/>
          <w:szCs w:val="24"/>
          <w:highlight w:val="none"/>
          <w:lang w:val="en-US" w:eastAsia="zh-CN"/>
        </w:rPr>
        <w:t xml:space="preserve">具备信息管理系统建设服务能力，及具备自主研发病理诊断系统，</w:t>
      </w:r>
      <w:r>
        <w:rPr>
          <w:rFonts w:hint="eastAsia" w:ascii="宋体" w:hAnsi="宋体" w:eastAsia="宋体" w:cs="Times New Roman"/>
          <w:color w:val="000000"/>
          <w:sz w:val="24"/>
          <w:szCs w:val="24"/>
          <w:highlight w:val="none"/>
        </w:rPr>
        <w:t xml:space="preserve">在</w:t>
      </w:r>
      <w:r>
        <w:rPr>
          <w:rFonts w:hint="eastAsia" w:ascii="宋体" w:hAnsi="宋体" w:eastAsia="宋体" w:cs="Times New Roman"/>
          <w:color w:val="000000"/>
          <w:sz w:val="24"/>
          <w:szCs w:val="24"/>
          <w:highlight w:val="none"/>
          <w:lang w:val="en-US" w:eastAsia="zh-CN"/>
        </w:rPr>
        <w:t xml:space="preserve">医院南北两院区</w:t>
      </w:r>
      <w:r>
        <w:rPr>
          <w:rFonts w:hint="eastAsia" w:ascii="宋体" w:hAnsi="宋体" w:eastAsia="宋体" w:cs="Times New Roman"/>
          <w:color w:val="000000"/>
          <w:sz w:val="24"/>
          <w:szCs w:val="24"/>
          <w:highlight w:val="none"/>
        </w:rPr>
        <w:t xml:space="preserve">内搭建</w:t>
      </w:r>
      <w:r>
        <w:rPr>
          <w:rFonts w:hint="eastAsia" w:ascii="宋体" w:hAnsi="宋体" w:eastAsia="宋体" w:cs="Times New Roman"/>
          <w:color w:val="000000"/>
          <w:sz w:val="24"/>
          <w:szCs w:val="24"/>
          <w:highlight w:val="none"/>
          <w:lang w:val="en-US" w:eastAsia="zh-CN"/>
        </w:rPr>
        <w:t xml:space="preserve">病理诊断系统网络</w:t>
      </w:r>
      <w:r>
        <w:rPr>
          <w:rFonts w:hint="eastAsia" w:ascii="宋体" w:hAnsi="宋体" w:eastAsia="宋体" w:cs="Times New Roman"/>
          <w:color w:val="000000"/>
          <w:sz w:val="24"/>
          <w:szCs w:val="24"/>
          <w:highlight w:val="none"/>
        </w:rPr>
        <w:t xml:space="preserve">平台，</w:t>
      </w:r>
      <w:r>
        <w:rPr>
          <w:rFonts w:hint="eastAsia" w:ascii="宋体" w:hAnsi="宋体" w:eastAsia="宋体" w:cs="Times New Roman"/>
          <w:color w:val="000000"/>
          <w:sz w:val="24"/>
          <w:szCs w:val="24"/>
          <w:highlight w:val="none"/>
          <w:lang w:val="en-US" w:eastAsia="zh-CN"/>
        </w:rPr>
        <w:t xml:space="preserve">规范医疗数据接收、处理、分析，提升数据质量，</w:t>
      </w:r>
      <w:r>
        <w:rPr>
          <w:rFonts w:hint="eastAsia" w:ascii="宋体" w:hAnsi="宋体" w:eastAsia="宋体" w:cs="Times New Roman"/>
          <w:color w:val="000000"/>
          <w:sz w:val="24"/>
          <w:szCs w:val="24"/>
          <w:highlight w:val="none"/>
        </w:rPr>
        <w:t xml:space="preserve">实现样本签发、样本配送、样本接收、样本检测、报告传输全流程信息化服务能力，并实现</w:t>
      </w:r>
      <w:r>
        <w:rPr>
          <w:rFonts w:hint="eastAsia" w:ascii="宋体" w:hAnsi="宋体" w:eastAsia="宋体" w:cs="Times New Roman"/>
          <w:color w:val="000000"/>
          <w:sz w:val="24"/>
          <w:szCs w:val="24"/>
          <w:highlight w:val="none"/>
          <w:lang w:val="en-US" w:eastAsia="zh-CN"/>
        </w:rPr>
        <w:t xml:space="preserve">两院区</w:t>
      </w:r>
      <w:r>
        <w:rPr>
          <w:rFonts w:hint="eastAsia" w:ascii="宋体" w:hAnsi="宋体" w:eastAsia="宋体" w:cs="Times New Roman"/>
          <w:color w:val="000000"/>
          <w:sz w:val="24"/>
          <w:szCs w:val="24"/>
          <w:highlight w:val="none"/>
        </w:rPr>
        <w:t xml:space="preserve">间病理检测报告及时调阅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建设数智化病理科，并不断加强医疗数据资源交换与共享，提高区域医疗卫生与管理水平。</w:t>
      </w:r>
      <w:r>
        <w:rPr>
          <w:rFonts w:hint="eastAsia" w:ascii="宋体" w:hAnsi="宋体" w:eastAsia="宋体" w:cs="Times New Roman"/>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.投标人具备完善的服务体系</w:t>
      </w:r>
      <w:r>
        <w:rPr>
          <w:rFonts w:hint="eastAsia" w:ascii="宋体" w:hAnsi="宋体" w:eastAsia="宋体" w:cs="Times New Roman"/>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投标人需在项目所在地建立售后服务团队，能提供免费热线咨询服务，派专人专门负责处理相关的日常咨询及售后服务工作</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技术人员响应时间不得超过2小时，并提供应急服务预案，以确保检测报告时效性。</w:t>
      </w:r>
      <w:r>
        <w:rPr>
          <w:rFonts w:hint="eastAsia" w:ascii="宋体" w:hAnsi="宋体" w:eastAsia="宋体" w:cs="Times New Roman"/>
          <w:color w:val="000000"/>
          <w:sz w:val="24"/>
          <w:szCs w:val="24"/>
          <w:highlight w:val="none"/>
        </w:rPr>
      </w:r>
      <w:r/>
    </w:p>
    <w:p>
      <w:pPr>
        <w:pStyle w:val="859"/>
        <w:contextualSpacing/>
        <w:ind w:firstLine="482"/>
        <w:keepLines w:val="0"/>
        <w:keepNext w:val="0"/>
        <w:pageBreakBefore w:val="0"/>
        <w:spacing w:line="440" w:lineRule="exact"/>
        <w:widowControl w:val="off"/>
        <w:tabs>
          <w:tab w:val="left" w:pos="567" w:leader="none"/>
        </w:tabs>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三、</w:t>
      </w:r>
      <w:r>
        <w:rPr>
          <w:rFonts w:hint="eastAsia" w:ascii="宋体" w:hAnsi="宋体" w:eastAsia="宋体" w:cs="Times New Roman"/>
          <w:b/>
          <w:bCs/>
          <w:color w:val="000000"/>
          <w:sz w:val="24"/>
          <w:szCs w:val="24"/>
          <w:highlight w:val="none"/>
          <w:lang w:val="en-US" w:eastAsia="zh-CN"/>
        </w:rPr>
        <w:t xml:space="preserve">服务</w:t>
      </w:r>
      <w:r>
        <w:rPr>
          <w:rFonts w:ascii="宋体" w:hAnsi="宋体" w:eastAsia="宋体" w:cs="Times New Roman"/>
          <w:b/>
          <w:bCs/>
          <w:color w:val="000000"/>
          <w:sz w:val="24"/>
          <w:szCs w:val="24"/>
          <w:highlight w:val="none"/>
          <w:lang w:val="en-US" w:eastAsia="zh-CN"/>
        </w:rPr>
        <w:t xml:space="preserve">要求</w:t>
      </w:r>
      <w:r>
        <w:rPr>
          <w:rFonts w:ascii="宋体" w:hAnsi="宋体" w:eastAsia="宋体" w:cs="Times New Roman"/>
          <w:b/>
          <w:bCs/>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1.服务主体要求</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投标人中标后，须</w:t>
      </w:r>
      <w:r>
        <w:rPr>
          <w:rFonts w:hint="eastAsia" w:ascii="宋体" w:hAnsi="宋体" w:eastAsia="宋体" w:cs="宋体"/>
          <w:color w:val="000000"/>
          <w:sz w:val="24"/>
          <w:szCs w:val="24"/>
          <w:highlight w:val="none"/>
          <w:lang w:val="en-US" w:eastAsia="zh-CN"/>
        </w:rPr>
        <w:t xml:space="preserve">依托</w:t>
      </w:r>
      <w:r>
        <w:rPr>
          <w:rFonts w:hint="eastAsia" w:ascii="宋体" w:hAnsi="宋体" w:cs="宋体"/>
          <w:color w:val="000000"/>
          <w:sz w:val="24"/>
          <w:szCs w:val="24"/>
          <w:highlight w:val="none"/>
          <w:lang w:val="en-US" w:eastAsia="zh-CN"/>
        </w:rPr>
        <w:t xml:space="preserve">武进人民医院</w:t>
      </w:r>
      <w:r>
        <w:rPr>
          <w:rFonts w:hint="eastAsia" w:ascii="宋体" w:hAnsi="宋体" w:eastAsia="宋体" w:cs="宋体"/>
          <w:color w:val="000000"/>
          <w:sz w:val="24"/>
          <w:szCs w:val="24"/>
          <w:highlight w:val="none"/>
          <w:lang w:val="en-US" w:eastAsia="zh-CN"/>
        </w:rPr>
        <w:t xml:space="preserve">病理科，建设</w:t>
      </w:r>
      <w:r>
        <w:rPr>
          <w:rFonts w:hint="eastAsia" w:ascii="宋体" w:hAnsi="宋体" w:cs="宋体"/>
          <w:color w:val="000000"/>
          <w:sz w:val="24"/>
          <w:szCs w:val="24"/>
          <w:highlight w:val="none"/>
          <w:lang w:val="en-US" w:eastAsia="zh-CN"/>
        </w:rPr>
        <w:t xml:space="preserve">三甲医院</w:t>
      </w:r>
      <w:r>
        <w:rPr>
          <w:rFonts w:hint="eastAsia" w:ascii="宋体" w:hAnsi="宋体" w:eastAsia="宋体" w:cs="宋体"/>
          <w:color w:val="000000"/>
          <w:sz w:val="24"/>
          <w:szCs w:val="24"/>
          <w:highlight w:val="none"/>
          <w:lang w:val="en-US" w:eastAsia="zh-CN"/>
        </w:rPr>
        <w:t xml:space="preserve">标准病理诊断中心</w:t>
      </w:r>
      <w:r>
        <w:rPr>
          <w:rFonts w:hint="eastAsia" w:ascii="宋体" w:hAnsi="宋体" w:eastAsia="宋体" w:cs="宋体"/>
          <w:color w:val="000000"/>
          <w:sz w:val="24"/>
          <w:szCs w:val="24"/>
          <w:highlight w:val="none"/>
        </w:rPr>
        <w:t xml:space="preserve">，建设标准及要求如下：</w:t>
      </w:r>
      <w:r>
        <w:rPr>
          <w:rFonts w:hint="eastAsia" w:ascii="宋体" w:hAnsi="宋体" w:eastAsia="宋体" w:cs="宋体"/>
          <w:color w:val="000000"/>
          <w:sz w:val="24"/>
          <w:szCs w:val="24"/>
          <w:highlight w:val="none"/>
        </w:rPr>
      </w:r>
      <w:r/>
    </w:p>
    <w:p>
      <w:pPr>
        <w:pStyle w:val="859"/>
        <w:contextualSpacing/>
        <w:ind w:firstLine="482"/>
        <w:keepLines w:val="0"/>
        <w:keepNext w:val="0"/>
        <w:pageBreakBefore w:val="0"/>
        <w:spacing w:line="440" w:lineRule="exact"/>
        <w:widowControl w:val="off"/>
        <w:tabs>
          <w:tab w:val="left" w:pos="567" w:leader="none"/>
        </w:tabs>
        <w:rPr>
          <w:rFonts w:hint="eastAsia"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rPr>
        <w:t xml:space="preserve">★</w:t>
      </w:r>
      <w:r>
        <w:rPr>
          <w:rFonts w:hint="eastAsia" w:ascii="宋体" w:hAnsi="宋体" w:eastAsia="宋体" w:cs="宋体"/>
          <w:b/>
          <w:bCs/>
          <w:i/>
          <w:iCs/>
          <w:color w:val="000000"/>
          <w:sz w:val="24"/>
          <w:szCs w:val="24"/>
          <w:highlight w:val="none"/>
        </w:rPr>
        <w:t xml:space="preserve">（1）按照国家卫生健康委《医学检验实验室基本标准和管理规范》</w:t>
      </w:r>
      <w:r>
        <w:rPr>
          <w:rFonts w:hint="eastAsia" w:ascii="宋体" w:hAnsi="宋体" w:eastAsia="宋体" w:cs="宋体"/>
          <w:b/>
          <w:bCs/>
          <w:i/>
          <w:iCs/>
          <w:caps w:val="0"/>
          <w:color w:val="000000"/>
          <w:spacing w:val="0"/>
          <w:sz w:val="24"/>
          <w:szCs w:val="24"/>
          <w:highlight w:val="none"/>
          <w:shd w:val="clear" w:color="auto" w:fill="ffffff"/>
        </w:rPr>
        <w:t xml:space="preserve">《</w:t>
      </w:r>
      <w:r>
        <w:rPr>
          <w:rFonts w:hint="eastAsia" w:ascii="宋体" w:hAnsi="宋体" w:eastAsia="宋体" w:cs="宋体"/>
          <w:b/>
          <w:bCs/>
          <w:i/>
          <w:iCs/>
          <w:color w:val="000000"/>
          <w:sz w:val="24"/>
          <w:szCs w:val="24"/>
          <w:highlight w:val="none"/>
        </w:rPr>
        <w:t xml:space="preserve">病理科建设与管理指南（试行）》和《病理诊断中心基本标准和管理规范》的要求建设功能完备的实验室</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val="en-US" w:eastAsia="zh-CN"/>
        </w:rPr>
        <w:t xml:space="preserve">本项为实质性要求，提供承诺函加盖公章</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val="en-US" w:eastAsia="zh-CN"/>
        </w:rPr>
      </w:r>
      <w:r/>
    </w:p>
    <w:p>
      <w:pPr>
        <w:pStyle w:val="859"/>
        <w:contextualSpacing/>
        <w:ind w:firstLine="482"/>
        <w:keepLines w:val="0"/>
        <w:keepNext w:val="0"/>
        <w:pageBreakBefore w:val="0"/>
        <w:spacing w:line="440" w:lineRule="exact"/>
        <w:widowControl w:val="off"/>
        <w:tabs>
          <w:tab w:val="left" w:pos="567" w:leader="none"/>
        </w:tabs>
        <w:rPr>
          <w:rFonts w:hint="eastAsia"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★（2）投标人需在中标</w:t>
      </w:r>
      <w:r>
        <w:rPr>
          <w:rFonts w:hint="eastAsia" w:ascii="宋体" w:hAnsi="宋体" w:cs="宋体"/>
          <w:b/>
          <w:bCs/>
          <w:i/>
          <w:iCs/>
          <w:color w:val="000000"/>
          <w:sz w:val="24"/>
          <w:szCs w:val="24"/>
          <w:highlight w:val="none"/>
          <w:lang w:val="en-US" w:eastAsia="zh-CN"/>
        </w:rPr>
        <w:t xml:space="preserve">签约</w:t>
      </w:r>
      <w:r>
        <w:rPr>
          <w:rFonts w:hint="eastAsia" w:ascii="宋体" w:hAnsi="宋体" w:eastAsia="宋体" w:cs="宋体"/>
          <w:b/>
          <w:bCs/>
          <w:i/>
          <w:iCs/>
          <w:color w:val="000000"/>
          <w:sz w:val="24"/>
          <w:szCs w:val="24"/>
          <w:highlight w:val="none"/>
        </w:rPr>
        <w:t xml:space="preserve">后</w:t>
      </w:r>
      <w:r>
        <w:rPr>
          <w:rFonts w:hint="eastAsia" w:ascii="宋体" w:hAnsi="宋体" w:cs="宋体"/>
          <w:b/>
          <w:bCs/>
          <w:i/>
          <w:iCs/>
          <w:color w:val="000000"/>
          <w:sz w:val="24"/>
          <w:szCs w:val="24"/>
          <w:highlight w:val="none"/>
          <w:lang w:val="en-US" w:eastAsia="zh-CN"/>
        </w:rPr>
        <w:t xml:space="preserve">3</w:t>
      </w:r>
      <w:r>
        <w:rPr>
          <w:rFonts w:hint="eastAsia" w:ascii="宋体" w:hAnsi="宋体" w:eastAsia="宋体" w:cs="宋体"/>
          <w:b/>
          <w:bCs/>
          <w:i/>
          <w:iCs/>
          <w:color w:val="000000"/>
          <w:sz w:val="24"/>
          <w:szCs w:val="24"/>
          <w:highlight w:val="none"/>
        </w:rPr>
        <w:t xml:space="preserve">个月内完成</w:t>
      </w:r>
      <w:r>
        <w:rPr>
          <w:rFonts w:hint="eastAsia" w:ascii="宋体" w:hAnsi="宋体" w:cs="宋体"/>
          <w:b/>
          <w:bCs/>
          <w:i/>
          <w:iCs/>
          <w:color w:val="000000"/>
          <w:sz w:val="24"/>
          <w:szCs w:val="24"/>
          <w:highlight w:val="none"/>
          <w:lang w:val="en-US" w:eastAsia="zh-CN"/>
        </w:rPr>
        <w:t xml:space="preserve">分子实验室</w:t>
      </w:r>
      <w:r>
        <w:rPr>
          <w:rFonts w:hint="eastAsia" w:ascii="宋体" w:hAnsi="宋体" w:eastAsia="宋体" w:cs="宋体"/>
          <w:b/>
          <w:bCs/>
          <w:i/>
          <w:iCs/>
          <w:color w:val="000000"/>
          <w:sz w:val="24"/>
          <w:szCs w:val="24"/>
          <w:highlight w:val="none"/>
        </w:rPr>
        <w:t xml:space="preserve">建设</w:t>
      </w:r>
      <w:r>
        <w:rPr>
          <w:rFonts w:hint="eastAsia" w:ascii="宋体" w:hAnsi="宋体" w:cs="宋体"/>
          <w:b/>
          <w:bCs/>
          <w:i/>
          <w:iCs/>
          <w:color w:val="000000"/>
          <w:sz w:val="24"/>
          <w:szCs w:val="24"/>
          <w:highlight w:val="none"/>
          <w:lang w:eastAsia="zh-CN"/>
        </w:rPr>
        <w:t xml:space="preserve">，</w:t>
      </w:r>
      <w:r>
        <w:rPr>
          <w:rFonts w:hint="eastAsia" w:ascii="宋体" w:hAnsi="宋体" w:cs="宋体"/>
          <w:b/>
          <w:bCs/>
          <w:i/>
          <w:iCs/>
          <w:color w:val="000000"/>
          <w:sz w:val="24"/>
          <w:szCs w:val="24"/>
          <w:highlight w:val="none"/>
          <w:lang w:val="en-US" w:eastAsia="zh-CN"/>
        </w:rPr>
        <w:t xml:space="preserve">1年内获得PCR实验室审批验收</w:t>
      </w:r>
      <w:r>
        <w:rPr>
          <w:rFonts w:hint="eastAsia" w:ascii="宋体" w:hAnsi="宋体" w:eastAsia="宋体" w:cs="宋体"/>
          <w:b/>
          <w:bCs/>
          <w:i/>
          <w:iCs/>
          <w:color w:val="000000"/>
          <w:sz w:val="24"/>
          <w:szCs w:val="24"/>
          <w:highlight w:val="none"/>
        </w:rPr>
        <w:t xml:space="preserve">。</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val="en-US" w:eastAsia="zh-CN"/>
        </w:rPr>
        <w:t xml:space="preserve">本项为实质性要求，提供承诺函加盖公章</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rPr>
      </w:r>
      <w:r/>
    </w:p>
    <w:p>
      <w:pPr>
        <w:pStyle w:val="859"/>
        <w:contextualSpacing/>
        <w:ind w:firstLine="482"/>
        <w:keepLines w:val="0"/>
        <w:keepNext w:val="0"/>
        <w:pageBreakBefore w:val="0"/>
        <w:spacing w:line="440" w:lineRule="exact"/>
        <w:widowControl w:val="off"/>
        <w:tabs>
          <w:tab w:val="left" w:pos="567" w:leader="none"/>
        </w:tabs>
        <w:rPr>
          <w:rFonts w:hint="eastAsia" w:ascii="宋体" w:hAnsi="宋体" w:eastAsia="宋体" w:cs="宋体"/>
          <w:b/>
          <w:bCs/>
          <w:i/>
          <w:iCs/>
          <w:color w:val="000000"/>
          <w:sz w:val="24"/>
          <w:szCs w:val="24"/>
          <w:highlight w:val="none"/>
          <w:lang w:eastAsia="zh-CN"/>
        </w:rPr>
      </w:pPr>
      <w:r>
        <w:rPr>
          <w:rFonts w:hint="eastAsia" w:ascii="宋体" w:hAnsi="宋体" w:eastAsia="宋体" w:cs="宋体"/>
          <w:b/>
          <w:bCs/>
          <w:i/>
          <w:iCs/>
          <w:color w:val="000000"/>
          <w:sz w:val="24"/>
          <w:szCs w:val="24"/>
          <w:highlight w:val="none"/>
        </w:rPr>
        <w:t xml:space="preserve">★（3）投标人</w:t>
      </w:r>
      <w:r>
        <w:rPr>
          <w:rFonts w:hint="eastAsia" w:ascii="宋体" w:hAnsi="宋体" w:cs="宋体"/>
          <w:b/>
          <w:bCs/>
          <w:i/>
          <w:iCs/>
          <w:color w:val="000000"/>
          <w:sz w:val="24"/>
          <w:szCs w:val="24"/>
          <w:highlight w:val="none"/>
          <w:lang w:val="en-US" w:eastAsia="zh-CN"/>
        </w:rPr>
        <w:t xml:space="preserve">合作</w:t>
      </w:r>
      <w:r>
        <w:rPr>
          <w:rFonts w:hint="eastAsia" w:ascii="宋体" w:hAnsi="宋体" w:eastAsia="宋体" w:cs="宋体"/>
          <w:b/>
          <w:bCs/>
          <w:i/>
          <w:iCs/>
          <w:color w:val="000000"/>
          <w:sz w:val="24"/>
          <w:szCs w:val="24"/>
          <w:highlight w:val="none"/>
        </w:rPr>
        <w:t xml:space="preserve">期间，</w:t>
      </w:r>
      <w:r>
        <w:rPr>
          <w:rFonts w:hint="eastAsia" w:ascii="宋体" w:hAnsi="宋体" w:cs="宋体"/>
          <w:b/>
          <w:bCs/>
          <w:i/>
          <w:iCs/>
          <w:color w:val="000000"/>
          <w:sz w:val="24"/>
          <w:szCs w:val="24"/>
          <w:highlight w:val="none"/>
          <w:lang w:val="en-US" w:eastAsia="zh-CN"/>
        </w:rPr>
        <w:t xml:space="preserve">保障医院病理科人员的进修及外出学习频次，并和医院共同制定并执行人员的培养进修计划，相关成本均包含在报价内。</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val="en-US" w:eastAsia="zh-CN"/>
        </w:rPr>
        <w:t xml:space="preserve">本项为实质性要求，提供承诺函加盖公章</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eastAsia="zh-CN"/>
        </w:rPr>
      </w:r>
      <w:r/>
    </w:p>
    <w:p>
      <w:pPr>
        <w:pStyle w:val="927"/>
        <w:ind w:left="0" w:firstLine="482"/>
        <w:keepLines w:val="0"/>
        <w:keepNext w:val="0"/>
        <w:pageBreakBefore w:val="0"/>
        <w:spacing w:line="440" w:lineRule="exact"/>
        <w:widowControl w:val="off"/>
        <w:rPr>
          <w:rFonts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rPr>
        <w:t xml:space="preserve">★</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val="en-US" w:eastAsia="zh-CN"/>
        </w:rPr>
        <w:t xml:space="preserve">4）</w:t>
      </w:r>
      <w:r>
        <w:rPr>
          <w:rFonts w:hint="eastAsia" w:ascii="宋体" w:hAnsi="宋体" w:eastAsia="宋体" w:cs="宋体"/>
          <w:b/>
          <w:bCs/>
          <w:i/>
          <w:iCs/>
          <w:color w:val="000000"/>
          <w:sz w:val="24"/>
          <w:szCs w:val="24"/>
          <w:highlight w:val="none"/>
        </w:rPr>
        <w:t xml:space="preserve">投标人需在中标</w:t>
      </w:r>
      <w:r>
        <w:rPr>
          <w:rFonts w:hint="eastAsia" w:ascii="宋体" w:hAnsi="宋体" w:cs="宋体"/>
          <w:b/>
          <w:bCs/>
          <w:i/>
          <w:iCs/>
          <w:color w:val="000000"/>
          <w:sz w:val="24"/>
          <w:szCs w:val="24"/>
          <w:highlight w:val="none"/>
          <w:lang w:val="en-US" w:eastAsia="zh-CN"/>
        </w:rPr>
        <w:t xml:space="preserve">后启动市重点专科的建设</w:t>
      </w:r>
      <w:r>
        <w:rPr>
          <w:rFonts w:hint="eastAsia" w:ascii="宋体" w:hAnsi="宋体" w:eastAsia="宋体" w:cs="宋体"/>
          <w:b/>
          <w:bCs/>
          <w:i/>
          <w:iCs/>
          <w:color w:val="000000"/>
          <w:sz w:val="24"/>
          <w:szCs w:val="24"/>
          <w:highlight w:val="none"/>
          <w:lang w:eastAsia="zh-CN"/>
        </w:rPr>
        <w:t xml:space="preserve">。</w:t>
      </w:r>
      <w:r>
        <w:rPr>
          <w:rFonts w:hint="eastAsia" w:ascii="宋体" w:hAnsi="宋体" w:cs="宋体"/>
          <w:b/>
          <w:bCs/>
          <w:i/>
          <w:iCs/>
          <w:color w:val="000000"/>
          <w:sz w:val="24"/>
          <w:szCs w:val="24"/>
          <w:highlight w:val="none"/>
          <w:lang w:val="en-US" w:eastAsia="zh-CN"/>
        </w:rPr>
        <w:t xml:space="preserve">合作期内需达到市重点专科标准并顺利通过评审。</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val="en-US" w:eastAsia="zh-CN"/>
        </w:rPr>
        <w:t xml:space="preserve">本项为实质性要求，提供承诺函加盖公章</w:t>
      </w:r>
      <w:r>
        <w:rPr>
          <w:rFonts w:hint="eastAsia" w:ascii="宋体" w:hAnsi="宋体" w:eastAsia="宋体" w:cs="宋体"/>
          <w:b/>
          <w:bCs/>
          <w:i/>
          <w:iCs/>
          <w:color w:val="000000"/>
          <w:sz w:val="24"/>
          <w:szCs w:val="24"/>
          <w:highlight w:val="none"/>
          <w:lang w:eastAsia="zh-CN"/>
        </w:rPr>
        <w:t xml:space="preserve">）</w:t>
      </w:r>
      <w:r>
        <w:rPr>
          <w:rFonts w:ascii="宋体" w:hAnsi="宋体" w:eastAsia="宋体" w:cs="宋体"/>
          <w:b/>
          <w:bCs/>
          <w:i/>
          <w:iCs/>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服务流程要求  </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 投标人保证对送检的标本的</w:t>
      </w:r>
      <w:r>
        <w:rPr>
          <w:rFonts w:hint="eastAsia" w:ascii="宋体" w:hAnsi="宋体" w:eastAsia="宋体" w:cs="宋体"/>
          <w:color w:val="000000"/>
          <w:sz w:val="24"/>
          <w:szCs w:val="24"/>
          <w:highlight w:val="none"/>
          <w:lang w:val="en-US" w:eastAsia="zh-CN"/>
        </w:rPr>
        <w:t xml:space="preserve">诊断</w:t>
      </w:r>
      <w:r>
        <w:rPr>
          <w:rFonts w:hint="eastAsia" w:ascii="宋体" w:hAnsi="宋体" w:eastAsia="宋体" w:cs="宋体"/>
          <w:color w:val="000000"/>
          <w:sz w:val="24"/>
          <w:szCs w:val="24"/>
          <w:highlight w:val="none"/>
        </w:rPr>
        <w:t xml:space="preserve">过程进行有效的质量控制，并对结果的质量负责。</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 投标人应当符合报告出具时间的要求。</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对检测报告的结果出现疑义，</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w:t>
      </w:r>
      <w:r>
        <w:rPr>
          <w:rFonts w:hint="eastAsia" w:ascii="宋体" w:hAnsi="宋体" w:cs="宋体"/>
          <w:color w:val="000000"/>
          <w:sz w:val="24"/>
          <w:szCs w:val="24"/>
          <w:highlight w:val="none"/>
          <w:lang w:val="en-US" w:eastAsia="zh-CN"/>
        </w:rPr>
        <w:t xml:space="preserve">协同</w:t>
      </w:r>
      <w:r>
        <w:rPr>
          <w:rFonts w:hint="eastAsia" w:ascii="宋体" w:hAnsi="宋体" w:eastAsia="宋体" w:cs="宋体"/>
          <w:color w:val="000000"/>
          <w:sz w:val="24"/>
          <w:szCs w:val="24"/>
          <w:highlight w:val="none"/>
        </w:rPr>
        <w:t xml:space="preserve">负责解释并免费提供复查。</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服务人员要求</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病理中心</w:t>
      </w:r>
      <w:r>
        <w:rPr>
          <w:rFonts w:hint="eastAsia" w:ascii="宋体" w:hAnsi="宋体" w:eastAsia="宋体" w:cs="宋体"/>
          <w:color w:val="000000"/>
          <w:sz w:val="24"/>
          <w:szCs w:val="24"/>
          <w:highlight w:val="none"/>
        </w:rPr>
        <w:t xml:space="preserve">专业技术人员由</w:t>
      </w:r>
      <w:r>
        <w:rPr>
          <w:rFonts w:hint="eastAsia" w:ascii="宋体" w:hAnsi="宋体" w:eastAsia="宋体" w:cs="宋体"/>
          <w:color w:val="000000"/>
          <w:sz w:val="24"/>
          <w:szCs w:val="24"/>
          <w:highlight w:val="none"/>
          <w:lang w:val="en-US" w:eastAsia="zh-CN"/>
        </w:rPr>
        <w:t xml:space="preserve">常州市武进人民医院病理科</w:t>
      </w:r>
      <w:r>
        <w:rPr>
          <w:rFonts w:hint="eastAsia" w:ascii="宋体" w:hAnsi="宋体" w:eastAsia="宋体" w:cs="宋体"/>
          <w:color w:val="000000"/>
          <w:sz w:val="24"/>
          <w:szCs w:val="24"/>
          <w:highlight w:val="none"/>
        </w:rPr>
        <w:t xml:space="preserve">技术人员和</w:t>
      </w:r>
      <w:r>
        <w:rPr>
          <w:rFonts w:hint="eastAsia" w:ascii="宋体" w:hAnsi="宋体" w:eastAsia="宋体" w:cs="宋体"/>
          <w:color w:val="000000"/>
          <w:sz w:val="24"/>
          <w:szCs w:val="24"/>
          <w:highlight w:val="none"/>
          <w:lang w:val="en-US" w:eastAsia="zh-CN"/>
        </w:rPr>
        <w:t xml:space="preserve">投标方派遣技术人员</w:t>
      </w:r>
      <w:r>
        <w:rPr>
          <w:rFonts w:hint="eastAsia" w:ascii="宋体" w:hAnsi="宋体" w:eastAsia="宋体" w:cs="宋体"/>
          <w:color w:val="000000"/>
          <w:sz w:val="24"/>
          <w:szCs w:val="24"/>
          <w:highlight w:val="none"/>
        </w:rPr>
        <w:t xml:space="preserve">共同组成。</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②建立个人收入与岗位责任、绩效与目标考核及单位整体运行效益相挂钩的内部分配机制；</w:t>
      </w:r>
      <w:r>
        <w:rPr>
          <w:rFonts w:hint="eastAsia" w:ascii="宋体" w:hAnsi="宋体" w:eastAsia="宋体" w:cs="宋体"/>
          <w:color w:val="000000"/>
          <w:sz w:val="24"/>
          <w:szCs w:val="24"/>
          <w:highlight w:val="none"/>
        </w:rPr>
        <w:t xml:space="preserve">在现有岗位不变的前提下，确保人员收入不低于原有水平。</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③投标人负责配置派驻到实验室的技术人员必须具备一定工作经验，应服从医院科室管理。</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业务培训</w:t>
      </w:r>
      <w:r>
        <w:rPr>
          <w:rFonts w:hint="eastAsia" w:ascii="宋体" w:hAnsi="宋体" w:eastAsia="宋体" w:cs="宋体"/>
          <w:color w:val="000000"/>
          <w:sz w:val="24"/>
          <w:szCs w:val="24"/>
          <w:highlight w:val="none"/>
          <w:lang w:val="en-US" w:eastAsia="zh-CN"/>
        </w:rPr>
        <w:t xml:space="preserve">及学科建设支持</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①中标人</w:t>
      </w:r>
      <w:r>
        <w:rPr>
          <w:rFonts w:hint="eastAsia" w:ascii="宋体" w:hAnsi="宋体" w:eastAsia="宋体" w:cs="宋体"/>
          <w:color w:val="000000"/>
          <w:sz w:val="24"/>
          <w:szCs w:val="24"/>
          <w:highlight w:val="none"/>
        </w:rPr>
        <w:t xml:space="preserve">可为</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病理科医技人员提供短、中、长期的培训学习的机会，每年度至少为</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病理科医技人员提供2次专项技术培训，满足医院对人才梯队建设的需求，培训期间</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为培训人员提供住宿，培训人员其他开支由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自行负责。</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可派学术专员协助病理科增强与临床沟通，并定期参与病理科与临床科室的学术交流沟通会，促进现有项目的临床推广应用，病理科新开展项目不得与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检验科已开展项目构成竞争。</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③组织</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病理科医技人员每年参加不低于2次的省级及以上学术会议，每次不低于2人，相关会议差旅注册等费用成本由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5.其他业务支持</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 资源共享与科研协作支持</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①中标人在遵守国家相关政策的前提下，协助采购人申报、开展相关课题研究，提供相关指导及技术平台支持，双方另行约定知识产权归属。</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②中标人有权要求采购人提供双方合作过程中产生的相关临床资料信息，且相关信息在脱敏后中标人可用于诊断、教学培训，科研等用途，同时中标人可为采购人提供数据整合分析及结构化处理等服务。</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 疑难会诊专家支持</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采购人每月可筛选1-2个有价值的疑难病例送检中标人的国际远程会诊，中标人不收取会诊费用，对于国际方也认为有价值的病例可进一步协商联合投稿学术刊物，所产生的相关费用由双方共同承担。</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 病理诊断平台搭建及病理诊断相关服务</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①中标人搭建远程病理诊断平台，两个院区互联互通，提供所需设备及软件。在合作期内，中标人为采购人提供系统的对接、维护、保养及升级等服务（人为不当使用损坏除外）。</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②中标人协助采购人开展远程病理教学，定期开展病理学习讲座，病理读片会等活动，每季度不低于一次，提高病理科的病理诊断水平。</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中标人协助甲方完善现有病理平台项目种类，根据医院实际情况，开展更丰富的免疫组化、特殊染色、免疫荧光、细胞学检测、分子病理等病理检测项目，并为采购人病理科检测平台完善提供培训支持，保障甲方能够独立开展新进项目。</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④协助病理样本保存及临床数据整合</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人为采购人提供病理诊断后剩余的有价值病理标本的第三方存储，并对所保存样本进行石蜡包埋、DNA提取等工作，经采购人同意后，中标人可以为科学研究目的使用该样本。（中标人使用样本前应向甲方提交书面申请，采购人应在15个工作日内书面答复，逾期未答复视为不同意。）中标人在有效利用样本资源的同时，应支持采购人今后开展相关的科学研究。</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中标人为采购人提供进行病理诊断患者的临床数据整合与结构化服务，并协助采购人为离院患者提供标准化随访服务，协助采购人搭建医患沟通平台。</w:t>
      </w:r>
      <w:r>
        <w:rPr>
          <w:rFonts w:hint="eastAsia" w:ascii="宋体" w:hAnsi="宋体" w:eastAsia="宋体" w:cs="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纠纷及投诉处理要求</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原因出现</w:t>
      </w:r>
      <w:r>
        <w:rPr>
          <w:rFonts w:hint="eastAsia" w:ascii="宋体" w:hAnsi="宋体" w:eastAsia="宋体" w:cs="宋体"/>
          <w:color w:val="000000"/>
          <w:sz w:val="24"/>
          <w:szCs w:val="24"/>
          <w:highlight w:val="none"/>
          <w:lang w:val="en-US" w:eastAsia="zh-CN"/>
        </w:rPr>
        <w:t xml:space="preserve">病理诊断</w:t>
      </w:r>
      <w:r>
        <w:rPr>
          <w:rFonts w:hint="eastAsia" w:ascii="宋体" w:hAnsi="宋体" w:eastAsia="宋体" w:cs="宋体"/>
          <w:color w:val="000000"/>
          <w:sz w:val="24"/>
          <w:szCs w:val="24"/>
          <w:highlight w:val="none"/>
        </w:rPr>
        <w:t xml:space="preserve">结果错误或</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派驻人员工作失职导致医疗纠纷或服务投诉或其他不良后果的，由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依法承担全部责任和经济赔偿。</w:t>
      </w:r>
      <w:r>
        <w:rPr>
          <w:rFonts w:hint="eastAsia" w:ascii="宋体" w:hAnsi="宋体" w:eastAsia="宋体" w:cs="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7.个人信息与数据安全</w:t>
      </w:r>
      <w:r>
        <w:rPr>
          <w:rFonts w:hint="eastAsia" w:ascii="宋体" w:hAnsi="宋体" w:eastAsia="宋体" w:cs="Times New Roman"/>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7.1 </w:t>
      </w:r>
      <w:r>
        <w:rPr>
          <w:rFonts w:hint="eastAsia" w:ascii="宋体" w:hAnsi="宋体" w:eastAsia="宋体" w:cs="Times New Roman"/>
          <w:color w:val="000000"/>
          <w:sz w:val="24"/>
          <w:szCs w:val="24"/>
          <w:highlight w:val="none"/>
        </w:rPr>
        <w:t xml:space="preserve">双方深知个人信息等受监管数据依法依规处理及保护的重要性，各方应当按照法律法规、相关标准等规定，采取相应的安全保护措施保护及处理受检者的个人信息及受监管的数据。一方因履行本协议之目的交付、传输给另一方的个人信息、数据等，接收方及其工作人员应按法律法规的要求进行保护及处理。否则，违规方应承担因此导致的受检者个人信息泄露产生的相关责任及损失，并赔偿另一方损失。</w:t>
      </w:r>
      <w:r>
        <w:rPr>
          <w:rFonts w:hint="eastAsia" w:ascii="宋体" w:hAnsi="宋体" w:eastAsia="宋体" w:cs="Times New Roman"/>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中标人</w:t>
      </w:r>
      <w:r>
        <w:rPr>
          <w:rFonts w:hint="eastAsia" w:ascii="宋体" w:hAnsi="宋体" w:eastAsia="宋体" w:cs="Times New Roman"/>
          <w:color w:val="000000"/>
          <w:sz w:val="24"/>
          <w:szCs w:val="24"/>
          <w:highlight w:val="none"/>
          <w:lang w:eastAsia="zh-CN"/>
        </w:rPr>
        <w:t xml:space="preserve">违反个人信息保护义务的，每次违约应向</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lang w:eastAsia="zh-CN"/>
        </w:rPr>
        <w:t xml:space="preserve">支付人民币伍万元违约金，且应自行承担监管部门处罚。</w:t>
      </w:r>
      <w:r>
        <w:rPr>
          <w:rFonts w:hint="eastAsia" w:ascii="宋体" w:hAnsi="宋体" w:eastAsia="宋体" w:cs="Times New Roman"/>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7.2 采购人</w:t>
      </w:r>
      <w:r>
        <w:rPr>
          <w:rFonts w:hint="eastAsia" w:ascii="宋体" w:hAnsi="宋体" w:eastAsia="宋体" w:cs="Times New Roman"/>
          <w:color w:val="000000"/>
          <w:sz w:val="24"/>
          <w:szCs w:val="24"/>
          <w:highlight w:val="none"/>
        </w:rPr>
        <w:t xml:space="preserve">应当依法依规保护受检者的个人信息，因履行本协议之目的，提供给</w:t>
      </w:r>
      <w:r>
        <w:rPr>
          <w:rFonts w:hint="eastAsia" w:ascii="宋体" w:hAnsi="宋体" w:eastAsia="宋体" w:cs="Times New Roman"/>
          <w:color w:val="000000"/>
          <w:sz w:val="24"/>
          <w:szCs w:val="24"/>
          <w:highlight w:val="none"/>
          <w:lang w:val="en-US" w:eastAsia="zh-CN"/>
        </w:rPr>
        <w:t xml:space="preserve">中标人</w:t>
      </w:r>
      <w:r>
        <w:rPr>
          <w:rFonts w:hint="eastAsia" w:ascii="宋体" w:hAnsi="宋体" w:eastAsia="宋体" w:cs="Times New Roman"/>
          <w:color w:val="000000"/>
          <w:sz w:val="24"/>
          <w:szCs w:val="24"/>
          <w:highlight w:val="none"/>
        </w:rPr>
        <w:t xml:space="preserve">的受检者信息应进行匿名化处理或依法履行告知及取得受检者同意的义务，同意</w:t>
      </w:r>
      <w:r>
        <w:rPr>
          <w:rFonts w:hint="eastAsia" w:ascii="宋体" w:hAnsi="宋体" w:eastAsia="宋体" w:cs="Times New Roman"/>
          <w:color w:val="000000"/>
          <w:sz w:val="24"/>
          <w:szCs w:val="24"/>
          <w:highlight w:val="none"/>
          <w:lang w:val="en-US" w:eastAsia="zh-CN"/>
        </w:rPr>
        <w:t xml:space="preserve">中标人</w:t>
      </w:r>
      <w:r>
        <w:rPr>
          <w:rFonts w:hint="eastAsia" w:ascii="宋体" w:hAnsi="宋体" w:eastAsia="宋体" w:cs="Times New Roman"/>
          <w:color w:val="000000"/>
          <w:sz w:val="24"/>
          <w:szCs w:val="24"/>
          <w:highlight w:val="none"/>
        </w:rPr>
        <w:t xml:space="preserve">按本协议约定之目的合法使用处理个人信息。</w:t>
      </w:r>
      <w:r>
        <w:rPr>
          <w:rFonts w:hint="eastAsia" w:ascii="宋体" w:hAnsi="宋体" w:eastAsia="宋体" w:cs="Times New Roman"/>
          <w:color w:val="000000"/>
          <w:sz w:val="24"/>
          <w:szCs w:val="24"/>
          <w:highlight w:val="none"/>
          <w:lang w:val="en-US" w:eastAsia="zh-CN"/>
        </w:rPr>
        <w:t xml:space="preserve">中标人</w:t>
      </w:r>
      <w:r>
        <w:rPr>
          <w:rFonts w:hint="eastAsia" w:ascii="宋体" w:hAnsi="宋体" w:eastAsia="宋体" w:cs="Times New Roman"/>
          <w:color w:val="000000"/>
          <w:sz w:val="24"/>
          <w:szCs w:val="24"/>
          <w:highlight w:val="none"/>
        </w:rPr>
        <w:t xml:space="preserve">若涉及处理个人信息的，应进行相应信息安全措施。</w:t>
      </w:r>
      <w:r>
        <w:rPr>
          <w:rFonts w:hint="eastAsia" w:ascii="宋体" w:hAnsi="宋体" w:eastAsia="宋体" w:cs="Times New Roman"/>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7.3 </w:t>
      </w:r>
      <w:r>
        <w:rPr>
          <w:rFonts w:hint="eastAsia" w:ascii="宋体" w:hAnsi="宋体" w:eastAsia="宋体" w:cs="Times New Roman"/>
          <w:color w:val="000000"/>
          <w:sz w:val="24"/>
          <w:szCs w:val="24"/>
          <w:highlight w:val="none"/>
        </w:rPr>
        <w:t xml:space="preserve">甲乙任一方有权因科研项目、发表论文、数据分析等需要使用本协议所产生的信息、数据及相关剩余样本（如有），但应将受检者信息去标识化，依照法律法规的规定合法使用并依法自行承担责任；一方如需另一方协助的，另一方应当协助，并根据需要另行签订协议明确。</w:t>
      </w:r>
      <w:r>
        <w:rPr>
          <w:rFonts w:ascii="宋体" w:hAnsi="宋体" w:eastAsia="宋体" w:cs="Times New Roman"/>
          <w:color w:val="000000"/>
          <w:sz w:val="24"/>
          <w:szCs w:val="24"/>
          <w:highlight w:val="none"/>
          <w:lang w:val="en-US" w:eastAsia="zh-CN"/>
        </w:rPr>
      </w:r>
      <w:r/>
    </w:p>
    <w:p>
      <w:pPr>
        <w:pStyle w:val="859"/>
        <w:contextualSpacing/>
        <w:ind w:firstLine="482"/>
        <w:keepLines w:val="0"/>
        <w:keepNext w:val="0"/>
        <w:pageBreakBefore w:val="0"/>
        <w:spacing w:line="440" w:lineRule="exact"/>
        <w:widowControl w:val="off"/>
        <w:tabs>
          <w:tab w:val="left" w:pos="567" w:leader="none"/>
        </w:tabs>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四、违约责任</w:t>
      </w:r>
      <w:r>
        <w:rPr>
          <w:rFonts w:hint="eastAsia" w:ascii="宋体" w:hAnsi="宋体" w:eastAsia="宋体" w:cs="Times New Roman"/>
          <w:b/>
          <w:bCs/>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协议期间</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中标人</w:t>
      </w:r>
      <w:r>
        <w:rPr>
          <w:rFonts w:hint="eastAsia" w:ascii="宋体" w:hAnsi="宋体" w:eastAsia="宋体" w:cs="Times New Roman"/>
          <w:color w:val="000000"/>
          <w:sz w:val="24"/>
          <w:szCs w:val="24"/>
          <w:highlight w:val="none"/>
        </w:rPr>
        <w:t xml:space="preserve">存在以下情形之一的，</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有权解除合同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在本协议生效之日起3个月仍无法完成病理诊断平台建设，无法提供病理诊断相关服务时，经催告后仍无法及时完成且超过30日，甲方有权解除本合同。若因乙方原因导致病理诊断平台建设逾期，每逾期一日应按合同总金额的0.1%支付违约金，甲方有权解除合同并要求乙方承担相应违约责任。 </w:t>
      </w:r>
      <w:r>
        <w:rPr>
          <w:rFonts w:hint="eastAsia" w:ascii="宋体" w:hAnsi="宋体" w:eastAsia="宋体" w:cs="Times New Roman"/>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（2）因法律法规、行政政策调整等不可抗力因素，导致需缺乏合作基础时，甲方有权解除本合同。</w:t>
      </w:r>
      <w:r>
        <w:rPr>
          <w:rFonts w:hint="eastAsia" w:ascii="宋体" w:hAnsi="宋体" w:eastAsia="宋体" w:cs="Times New Roman"/>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（3）乙方未按合同约定提供专业技术支持或服务质量未达到约定标准，经甲方书面通知整改后仍未改善的，甲方有权解除合同。</w:t>
      </w:r>
      <w:r>
        <w:rPr>
          <w:rFonts w:ascii="宋体" w:hAnsi="宋体" w:eastAsia="宋体" w:cs="Times New Roman"/>
          <w:color w:val="000000"/>
          <w:sz w:val="24"/>
          <w:szCs w:val="24"/>
          <w:highlight w:val="none"/>
          <w:lang w:val="en-US" w:eastAsia="zh-CN"/>
        </w:rPr>
      </w:r>
      <w:r/>
    </w:p>
    <w:p>
      <w:pPr>
        <w:pStyle w:val="859"/>
        <w:contextualSpacing/>
        <w:ind w:firstLine="482"/>
        <w:keepLines w:val="0"/>
        <w:keepNext w:val="0"/>
        <w:pageBreakBefore w:val="0"/>
        <w:spacing w:line="440" w:lineRule="exact"/>
        <w:widowControl w:val="off"/>
        <w:tabs>
          <w:tab w:val="left" w:pos="567" w:leader="none"/>
        </w:tabs>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五、报价方式</w:t>
      </w:r>
      <w:r>
        <w:rPr>
          <w:rFonts w:ascii="宋体" w:hAnsi="宋体" w:eastAsia="宋体" w:cs="Times New Roman"/>
          <w:b/>
          <w:bCs/>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1.服务地点：采购人指定地点。</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2.服务期限：</w:t>
      </w:r>
      <w:r>
        <w:rPr>
          <w:rFonts w:hint="eastAsia" w:ascii="宋体" w:hAnsi="宋体" w:eastAsia="宋体"/>
          <w:color w:val="000000"/>
          <w:sz w:val="24"/>
          <w:szCs w:val="24"/>
          <w:highlight w:val="none"/>
          <w:lang w:val="en-US" w:eastAsia="zh-CN"/>
        </w:rPr>
        <w:t xml:space="preserve">三年</w:t>
      </w:r>
      <w:r>
        <w:rPr>
          <w:rFonts w:hint="eastAsia" w:ascii="宋体" w:hAnsi="宋体" w:eastAsia="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在合同期限内，</w:t>
      </w:r>
      <w:r>
        <w:rPr>
          <w:rFonts w:hint="eastAsia" w:ascii="宋体" w:hAnsi="宋体" w:eastAsia="宋体"/>
          <w:color w:val="000000"/>
          <w:sz w:val="24"/>
          <w:szCs w:val="24"/>
          <w:highlight w:val="none"/>
          <w:lang w:val="en-US" w:eastAsia="zh-CN"/>
        </w:rPr>
        <w:t xml:space="preserve">服务方</w:t>
      </w:r>
      <w:r>
        <w:rPr>
          <w:rFonts w:hint="eastAsia" w:ascii="宋体" w:hAnsi="宋体" w:eastAsia="宋体"/>
          <w:color w:val="000000"/>
          <w:sz w:val="24"/>
          <w:szCs w:val="24"/>
          <w:highlight w:val="none"/>
        </w:rPr>
        <w:t xml:space="preserve">需按约定提供质优的产品及完善的服务，服务期内如未按招标文件要求提供</w:t>
      </w:r>
      <w:r>
        <w:rPr>
          <w:rFonts w:hint="eastAsia" w:ascii="宋体" w:hAnsi="宋体" w:eastAsia="宋体"/>
          <w:color w:val="000000"/>
          <w:sz w:val="24"/>
          <w:szCs w:val="24"/>
          <w:highlight w:val="none"/>
          <w:lang w:val="en-US" w:eastAsia="zh-CN"/>
        </w:rPr>
        <w:t xml:space="preserve">采购</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rPr>
        <w:t xml:space="preserve">所需项目建设、服务供应及完</w:t>
      </w:r>
      <w:r>
        <w:rPr>
          <w:rFonts w:hint="eastAsia" w:ascii="宋体" w:hAnsi="宋体" w:eastAsia="宋体"/>
          <w:color w:val="000000"/>
          <w:sz w:val="24"/>
          <w:szCs w:val="24"/>
          <w:highlight w:val="none"/>
        </w:rPr>
        <w:t xml:space="preserve">善的管理服务，采购人有权缩减合同期限或终止合同。合同履约过程中，如发现中标人为虚假应标者，采购人有权立即终止合同同时要求赔偿</w:t>
      </w:r>
      <w:r>
        <w:rPr>
          <w:rFonts w:hint="eastAsia" w:ascii="宋体" w:hAnsi="宋体" w:eastAsia="宋体"/>
          <w:color w:val="000000"/>
          <w:sz w:val="24"/>
          <w:szCs w:val="24"/>
          <w:highlight w:val="none"/>
          <w:lang w:val="en-US" w:eastAsia="zh-CN"/>
        </w:rPr>
        <w:t xml:space="preserve">采购</w:t>
      </w:r>
      <w:r>
        <w:rPr>
          <w:rFonts w:hint="eastAsia" w:ascii="宋体" w:hAnsi="宋体" w:eastAsia="宋体"/>
          <w:color w:val="000000"/>
          <w:sz w:val="24"/>
          <w:szCs w:val="24"/>
          <w:highlight w:val="none"/>
        </w:rPr>
        <w:t xml:space="preserve">人的损失。</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4.结算与支付</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（1）收费标准：按现行的《常州地区公立医院基本医疗服务项目价格汇总表》三级收费标准结算依据</w:t>
      </w:r>
      <w:r>
        <w:rPr>
          <w:rFonts w:hint="eastAsia" w:ascii="宋体" w:hAnsi="宋体" w:eastAsia="宋体"/>
          <w:color w:val="000000"/>
          <w:sz w:val="24"/>
          <w:szCs w:val="24"/>
          <w:highlight w:val="none"/>
          <w:lang w:eastAsia="zh-CN"/>
        </w:rPr>
        <w:t xml:space="preserve">，如遇政府相关政策法规变化导致收费标准有所调整时，各项目实际结算价按比例调整。送检项目的结算按照接收标本的日期为准，上述项目定义按常规医学术语。</w:t>
      </w:r>
      <w:r>
        <w:rPr>
          <w:rFonts w:hint="eastAsia" w:ascii="宋体" w:hAnsi="宋体" w:eastAsia="宋体"/>
          <w:color w:val="000000"/>
          <w:sz w:val="24"/>
          <w:szCs w:val="24"/>
          <w:highlight w:val="none"/>
          <w:lang w:eastAsia="zh-CN"/>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（2）结算</w:t>
      </w:r>
      <w:r>
        <w:rPr>
          <w:rFonts w:hint="eastAsia" w:ascii="宋体" w:hAnsi="宋体" w:eastAsia="宋体"/>
          <w:color w:val="000000"/>
          <w:sz w:val="24"/>
          <w:szCs w:val="24"/>
          <w:highlight w:val="none"/>
          <w:lang w:val="en-US" w:eastAsia="zh-CN"/>
        </w:rPr>
        <w:t xml:space="preserve">原则</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病理科</w:t>
      </w:r>
      <w:r>
        <w:rPr>
          <w:rFonts w:hint="eastAsia" w:ascii="宋体" w:hAnsi="宋体" w:eastAsia="宋体"/>
          <w:color w:val="000000"/>
          <w:sz w:val="24"/>
          <w:szCs w:val="24"/>
          <w:highlight w:val="none"/>
        </w:rPr>
        <w:t xml:space="preserve">开展的项目，采购人按照</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1-中标优惠率</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《常州地区公立医院基本医疗服务项目价格汇总表》三级收费标准</w:t>
      </w:r>
      <w:r>
        <w:rPr>
          <w:rFonts w:hint="eastAsia" w:ascii="宋体" w:hAnsi="宋体" w:eastAsia="宋体"/>
          <w:color w:val="000000"/>
          <w:sz w:val="24"/>
          <w:szCs w:val="24"/>
          <w:highlight w:val="none"/>
        </w:rPr>
        <w:t xml:space="preserve">进行</w:t>
      </w:r>
      <w:r>
        <w:rPr>
          <w:rFonts w:ascii="宋体" w:hAnsi="宋体" w:eastAsia="宋体"/>
          <w:color w:val="000000"/>
          <w:sz w:val="24"/>
          <w:szCs w:val="24"/>
          <w:highlight w:val="none"/>
        </w:rPr>
        <w:t xml:space="preserve">支付。</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（3）付款</w:t>
      </w:r>
      <w:r>
        <w:rPr>
          <w:rFonts w:hint="eastAsia" w:ascii="宋体" w:hAnsi="宋体" w:eastAsia="宋体" w:cs="Times New Roman"/>
          <w:color w:val="000000"/>
          <w:sz w:val="24"/>
          <w:szCs w:val="24"/>
          <w:highlight w:val="none"/>
          <w:lang w:val="en-US" w:eastAsia="zh-CN"/>
        </w:rPr>
        <w:t xml:space="preserve">方式：服务费用按季度结算。每个季度结束后五日内，中标人通过现场递交、邮寄发函或发送电子邮件等方式向采购人提供业务电子清单，清单内容含时间、姓名、项目、医生姓名、数量及金额等；采购人应在收到电子清单10个工作日内核对无误后予以书面确认（由采购人工作人员签字或盖财务章或盖公章确认），采购人逾期未予以确认且未书面提出清单有误的，视为同意按中标人提供的清单进行结算。中标人按清单确定的金额向采购人提供合格的发票，采购人在收到发票后30日内将上季度检测服务费用汇入中标人指定帐户，如汇款截止日为节假日，可顺延一个工作日。</w:t>
      </w:r>
      <w:r>
        <w:rPr>
          <w:rFonts w:ascii="宋体" w:hAnsi="宋体" w:eastAsia="宋体" w:cs="Times New Roman"/>
          <w:color w:val="000000"/>
          <w:sz w:val="24"/>
          <w:szCs w:val="24"/>
          <w:highlight w:val="none"/>
          <w:lang w:val="en-US" w:eastAsia="zh-CN"/>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5.报价要求：</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（2）本项目采用</w:t>
      </w:r>
      <w:r>
        <w:rPr>
          <w:rFonts w:hint="eastAsia" w:ascii="宋体" w:hAnsi="宋体" w:eastAsia="宋体"/>
          <w:b/>
          <w:bCs/>
          <w:color w:val="000000"/>
          <w:sz w:val="24"/>
          <w:szCs w:val="24"/>
          <w:highlight w:val="none"/>
          <w:u w:val="single"/>
          <w:lang w:val="en-US" w:eastAsia="zh-CN"/>
        </w:rPr>
        <w:t xml:space="preserve">优惠率</w:t>
      </w:r>
      <w:r>
        <w:rPr>
          <w:rFonts w:hint="eastAsia" w:ascii="宋体" w:hAnsi="宋体" w:eastAsia="宋体"/>
          <w:color w:val="000000"/>
          <w:sz w:val="24"/>
          <w:szCs w:val="24"/>
          <w:highlight w:val="none"/>
        </w:rPr>
        <w:t xml:space="preserve">的方式进行投标报价，即投标人以检测项目的物价收费标准为基础提供合理的</w:t>
      </w:r>
      <w:r>
        <w:rPr>
          <w:rFonts w:hint="eastAsia" w:ascii="宋体" w:hAnsi="宋体" w:eastAsia="宋体"/>
          <w:color w:val="000000"/>
          <w:sz w:val="24"/>
          <w:szCs w:val="24"/>
          <w:highlight w:val="none"/>
          <w:lang w:val="en-US" w:eastAsia="zh-CN"/>
        </w:rPr>
        <w:t xml:space="preserve">优惠率报价。中标折扣为（1-中标优惠率），</w:t>
      </w:r>
      <w:r>
        <w:rPr>
          <w:rFonts w:hint="eastAsia" w:ascii="宋体" w:hAnsi="宋体" w:eastAsia="宋体"/>
          <w:color w:val="000000"/>
          <w:sz w:val="24"/>
          <w:szCs w:val="24"/>
          <w:highlight w:val="none"/>
        </w:rPr>
        <w:t xml:space="preserve">中标</w:t>
      </w:r>
      <w:r>
        <w:rPr>
          <w:rFonts w:hint="eastAsia" w:ascii="宋体" w:hAnsi="宋体" w:eastAsia="宋体"/>
          <w:color w:val="000000"/>
          <w:sz w:val="24"/>
          <w:szCs w:val="24"/>
          <w:highlight w:val="none"/>
          <w:lang w:val="en-US" w:eastAsia="zh-CN"/>
        </w:rPr>
        <w:t xml:space="preserve">折扣</w:t>
      </w:r>
      <w:r>
        <w:rPr>
          <w:rFonts w:hint="eastAsia" w:ascii="宋体" w:hAnsi="宋体" w:eastAsia="宋体"/>
          <w:color w:val="000000"/>
          <w:sz w:val="24"/>
          <w:szCs w:val="24"/>
          <w:highlight w:val="none"/>
        </w:rPr>
        <w:t xml:space="preserve">将作为未来合作期内的结算费率，合作期内中标折扣不做变动，数值精确到小数点后2位，单位为%。对于政府文件提供指导价格的检验检测项目，遇结算比例调整的，按最新文件且不超过政府指导结算比例进行结算。</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（3）投标人所报</w:t>
      </w:r>
      <w:r>
        <w:rPr>
          <w:rFonts w:hint="eastAsia" w:ascii="宋体" w:hAnsi="宋体" w:eastAsia="宋体"/>
          <w:color w:val="000000"/>
          <w:sz w:val="24"/>
          <w:szCs w:val="24"/>
          <w:highlight w:val="none"/>
          <w:lang w:val="en-US" w:eastAsia="zh-CN"/>
        </w:rPr>
        <w:t xml:space="preserve">优惠率＞0%</w:t>
      </w:r>
      <w:r>
        <w:rPr>
          <w:rFonts w:hint="eastAsia" w:ascii="宋体" w:hAnsi="宋体" w:eastAsia="宋体"/>
          <w:color w:val="000000"/>
          <w:sz w:val="24"/>
          <w:szCs w:val="24"/>
          <w:highlight w:val="none"/>
        </w:rPr>
        <w:t xml:space="preserve">，否则按照无效投标处理。</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（4）详细技术规范请参阅招标文件中的技术服务要求。投标人必须对本项目全部内容进行投标报价，如有缺漏，将导致投标无效。</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en-US" w:eastAsia="zh-CN"/>
        </w:rPr>
        <w:t xml:space="preserve">服务</w:t>
      </w:r>
      <w:r>
        <w:rPr>
          <w:rFonts w:hint="eastAsia" w:ascii="宋体" w:hAnsi="宋体" w:eastAsia="宋体"/>
          <w:color w:val="000000"/>
          <w:sz w:val="24"/>
          <w:szCs w:val="24"/>
          <w:highlight w:val="none"/>
        </w:rPr>
        <w:t xml:space="preserve">项目的收费均以</w:t>
      </w:r>
      <w:r>
        <w:rPr>
          <w:rFonts w:hint="eastAsia" w:ascii="宋体" w:hAnsi="宋体" w:eastAsia="宋体"/>
          <w:color w:val="000000"/>
          <w:sz w:val="24"/>
          <w:szCs w:val="24"/>
          <w:highlight w:val="none"/>
          <w:lang w:val="en-US" w:eastAsia="zh-CN"/>
        </w:rPr>
        <w:t xml:space="preserve">现行</w:t>
      </w:r>
      <w:r>
        <w:rPr>
          <w:rFonts w:hint="eastAsia" w:ascii="宋体" w:hAnsi="宋体" w:eastAsia="宋体"/>
          <w:color w:val="000000"/>
          <w:sz w:val="24"/>
          <w:szCs w:val="24"/>
          <w:highlight w:val="none"/>
        </w:rPr>
        <w:t xml:space="preserve">《常州地区公立医院基本医疗服务项目价格汇总表》三级收费标准</w:t>
      </w:r>
      <w:r>
        <w:rPr>
          <w:rFonts w:hint="eastAsia" w:ascii="宋体" w:hAnsi="宋体" w:eastAsia="宋体"/>
          <w:color w:val="000000"/>
          <w:sz w:val="24"/>
          <w:szCs w:val="24"/>
          <w:highlight w:val="none"/>
        </w:rPr>
        <w:t xml:space="preserve">作为服务收费标准，遇新增服务项目及价格调整，以政府公布执行日期及执行价格作为服务收费标准。</w:t>
      </w:r>
      <w:r>
        <w:rPr>
          <w:rFonts w:ascii="宋体" w:hAnsi="宋体" w:eastAsia="宋体"/>
          <w:color w:val="000000"/>
          <w:sz w:val="24"/>
          <w:szCs w:val="24"/>
          <w:highlight w:val="none"/>
        </w:rPr>
      </w:r>
      <w:r/>
    </w:p>
    <w:p>
      <w:pPr>
        <w:pStyle w:val="859"/>
        <w:contextualSpacing/>
        <w:ind w:firstLine="480"/>
        <w:keepLines w:val="0"/>
        <w:keepNext w:val="0"/>
        <w:pageBreakBefore w:val="0"/>
        <w:spacing w:line="440" w:lineRule="exact"/>
        <w:widowControl w:val="off"/>
        <w:tabs>
          <w:tab w:val="left" w:pos="567"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（6）投标人的投标报价包含但不限于，投标人的技术服务平台的</w:t>
      </w:r>
      <w:r>
        <w:rPr>
          <w:rFonts w:hint="eastAsia" w:ascii="宋体" w:hAnsi="宋体" w:eastAsia="宋体"/>
          <w:color w:val="000000"/>
          <w:sz w:val="24"/>
          <w:szCs w:val="24"/>
          <w:highlight w:val="none"/>
          <w:lang w:val="en-US" w:eastAsia="zh-CN"/>
        </w:rPr>
        <w:t xml:space="preserve">搭建及</w:t>
      </w:r>
      <w:r>
        <w:rPr>
          <w:rFonts w:hint="eastAsia" w:ascii="宋体" w:hAnsi="宋体" w:eastAsia="宋体"/>
          <w:color w:val="000000"/>
          <w:sz w:val="24"/>
          <w:szCs w:val="24"/>
          <w:highlight w:val="none"/>
        </w:rPr>
        <w:t xml:space="preserve">升级、场地建设及改造、供应链服务、信息平台硬软件投入、专科发展投入、人才培养投入、质</w:t>
      </w:r>
      <w:r>
        <w:rPr>
          <w:rFonts w:hint="eastAsia" w:ascii="宋体" w:hAnsi="宋体" w:eastAsia="宋体"/>
          <w:color w:val="000000"/>
          <w:sz w:val="24"/>
          <w:szCs w:val="24"/>
          <w:highlight w:val="none"/>
          <w:lang w:val="en-US" w:eastAsia="zh-CN"/>
        </w:rPr>
        <w:t xml:space="preserve">控</w:t>
      </w:r>
      <w:r>
        <w:rPr>
          <w:rFonts w:hint="eastAsia" w:ascii="宋体" w:hAnsi="宋体" w:eastAsia="宋体"/>
          <w:color w:val="000000"/>
          <w:sz w:val="24"/>
          <w:szCs w:val="24"/>
          <w:highlight w:val="none"/>
        </w:rPr>
        <w:t xml:space="preserve">费用、人员费用、管理费用等费用，以及合理的投资风险 、利润和税金等。</w:t>
      </w:r>
      <w:r>
        <w:rPr>
          <w:rFonts w:ascii="宋体" w:hAnsi="宋体" w:eastAsia="宋体"/>
          <w:color w:val="000000"/>
          <w:sz w:val="24"/>
          <w:szCs w:val="24"/>
          <w:highlight w:val="none"/>
        </w:rPr>
      </w:r>
      <w:r/>
    </w:p>
    <w:p>
      <w:pPr>
        <w:pStyle w:val="954"/>
        <w:contextualSpacing/>
        <w:ind w:firstLine="480"/>
        <w:jc w:val="left"/>
        <w:keepLines w:val="0"/>
        <w:pageBreakBefore w:val="0"/>
        <w:spacing w:line="440" w:lineRule="exact"/>
        <w:widowControl w:val="off"/>
        <w:rPr>
          <w:rFonts w:ascii="宋体" w:hAnsi="宋体"/>
          <w:color w:val="000000"/>
          <w:sz w:val="24"/>
          <w:szCs w:val="24"/>
          <w:highlight w:val="none"/>
        </w:rPr>
      </w:pPr>
      <w:r>
        <w:rPr>
          <w:rFonts w:ascii="宋体" w:hAnsi="宋体"/>
          <w:color w:val="000000"/>
          <w:sz w:val="24"/>
          <w:szCs w:val="24"/>
          <w:highlight w:val="none"/>
        </w:rPr>
      </w:r>
      <w:r/>
    </w:p>
    <w:p>
      <w:pPr>
        <w:pStyle w:val="859"/>
        <w:spacing w:line="440" w:lineRule="exact"/>
        <w:rPr>
          <w:rFonts w:ascii="宋体" w:hAnsi="宋体"/>
          <w:b/>
          <w:color w:val="000000"/>
          <w:highlight w:val="none"/>
        </w:rPr>
      </w:pPr>
      <w:r>
        <w:rPr>
          <w:rFonts w:ascii="宋体" w:hAnsi="宋体"/>
          <w:b/>
          <w:color w:val="000000"/>
          <w:highlight w:val="none"/>
        </w:rPr>
      </w:r>
      <w:r/>
    </w:p>
    <w:p>
      <w:pPr>
        <w:pStyle w:val="859"/>
        <w:rPr>
          <w:rFonts w:ascii="宋体" w:hAnsi="宋体"/>
          <w:bCs/>
          <w:color w:val="000000"/>
          <w:highlight w:val="none"/>
        </w:rPr>
      </w:pPr>
      <w:r>
        <w:rPr>
          <w:rFonts w:ascii="宋体" w:hAnsi="宋体"/>
          <w:bCs/>
          <w:color w:val="000000"/>
          <w:highlight w:val="none"/>
        </w:rPr>
      </w:r>
      <w:r/>
    </w:p>
    <w:p>
      <w:pPr>
        <w:pStyle w:val="859"/>
        <w:rPr>
          <w:rFonts w:ascii="宋体" w:hAnsi="宋体"/>
          <w:color w:val="000000"/>
          <w:highlight w:val="none"/>
        </w:rPr>
      </w:pPr>
      <w:r>
        <w:rPr>
          <w:rFonts w:ascii="宋体" w:hAnsi="宋体"/>
          <w:color w:val="000000"/>
          <w:highlight w:val="none"/>
        </w:rPr>
      </w:r>
      <w:r/>
    </w:p>
    <w:p>
      <w:pPr>
        <w:pStyle w:val="859"/>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859"/>
        <w:jc w:val="center"/>
        <w:spacing w:line="360" w:lineRule="auto"/>
        <w:rPr>
          <w:rFonts w:ascii="宋体" w:hAnsi="宋体"/>
          <w:b/>
          <w:color w:val="000000"/>
          <w:sz w:val="36"/>
          <w:szCs w:val="36"/>
          <w:highlight w:val="none"/>
        </w:rPr>
        <w:outlineLvl w:val="0"/>
      </w:pPr>
      <w:r/>
      <w:bookmarkStart w:id="815" w:name="_Toc99301425"/>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898"/>
        <w:spacing w:line="360" w:lineRule="auto"/>
        <w:rPr>
          <w:rFonts w:hAnsi="宋体" w:cs="宋体"/>
          <w:color w:val="000000"/>
          <w:sz w:val="24"/>
          <w:szCs w:val="24"/>
          <w:highlight w:val="none"/>
        </w:rPr>
      </w:pPr>
      <w:r/>
      <w:bookmarkStart w:id="816" w:name="_Toc99301426"/>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898"/>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875"/>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89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859"/>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zh-CN"/>
        </w:rPr>
        <w:t xml:space="preserve">乙方根据甲方需求提供下列服务：</w:t>
      </w:r>
      <w:r>
        <w:rPr>
          <w:rFonts w:hint="eastAsia" w:ascii="宋体" w:hAnsi="宋体" w:cs="宋体"/>
          <w:b/>
          <w:bCs/>
          <w:color w:val="000000"/>
          <w:sz w:val="24"/>
          <w:highlight w:val="none"/>
          <w:lang w:val="zh-CN"/>
        </w:rPr>
        <w:t xml:space="preserve">病理科服务能力提升</w:t>
      </w:r>
      <w:r>
        <w:rPr>
          <w:rFonts w:hint="eastAsia" w:ascii="宋体" w:hAnsi="宋体" w:cs="宋体"/>
          <w:b/>
          <w:bCs/>
          <w:color w:val="000000"/>
          <w:sz w:val="24"/>
          <w:highlight w:val="none"/>
          <w:lang w:val="en-US" w:eastAsia="zh-CN"/>
        </w:rPr>
        <w:t xml:space="preserve">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包括但不限于以下服务要求：</w:t>
      </w:r>
      <w:r>
        <w:rPr>
          <w:rFonts w:hint="eastAsia" w:ascii="宋体" w:hAnsi="宋体" w:cs="宋体"/>
          <w:color w:val="000000"/>
          <w:sz w:val="24"/>
          <w:highlight w:val="none"/>
          <w:lang w:val="en-US" w:eastAsia="zh-CN"/>
        </w:rPr>
      </w:r>
      <w:r/>
    </w:p>
    <w:p>
      <w:pPr>
        <w:pStyle w:val="859"/>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一、服务原则</w:t>
      </w:r>
      <w:r>
        <w:rPr>
          <w:rFonts w:hint="eastAsia" w:ascii="宋体" w:hAnsi="宋体" w:cs="宋体"/>
          <w:color w:val="000000"/>
          <w:sz w:val="24"/>
          <w:highlight w:val="none"/>
          <w:lang w:val="en-US" w:eastAsia="zh-CN"/>
        </w:rPr>
      </w:r>
      <w:r/>
    </w:p>
    <w:p>
      <w:pPr>
        <w:pStyle w:val="859"/>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1．甲方为常州地区较有影响力的综合性医疗机构，乙方是以检测诊断服务为核心，专业从事医疗服务、高新技术开发的综合性健康医疗集团企业。</w:t>
      </w:r>
      <w:r>
        <w:rPr>
          <w:rFonts w:hint="eastAsia" w:ascii="宋体" w:hAnsi="宋体" w:cs="宋体"/>
          <w:color w:val="000000"/>
          <w:sz w:val="24"/>
          <w:highlight w:val="none"/>
          <w:lang w:val="en-US" w:eastAsia="zh-CN"/>
        </w:rPr>
      </w:r>
      <w:r/>
    </w:p>
    <w:p>
      <w:pPr>
        <w:pStyle w:val="859"/>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甲乙双方本着平等互利、优势互补、共同发展的原则，深入贯彻落实国家卫健委印发的关于《进一步改革完善医疗机构、医师审批工作的通知》（国卫医发2018[19]号）文件精神，充分依托双方目前已形成的医疗资源优势，促进实现医疗资源共享,并通过引进乙方的医学诊断的专业服务、高端优质医疗资源与成熟的运作管理经验，全面提升甲方病理科的医疗服务能力、服务质量。</w:t>
      </w:r>
      <w:r>
        <w:rPr>
          <w:rFonts w:hint="eastAsia" w:ascii="宋体" w:hAnsi="宋体" w:cs="宋体"/>
          <w:color w:val="000000"/>
          <w:sz w:val="24"/>
          <w:highlight w:val="none"/>
          <w:lang w:val="en-US" w:eastAsia="zh-CN"/>
        </w:rPr>
      </w:r>
      <w:r/>
    </w:p>
    <w:p>
      <w:pPr>
        <w:pStyle w:val="859"/>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lang w:val="en-US" w:eastAsia="zh-CN"/>
        </w:rPr>
        <w:t xml:space="preserve">目的</w:t>
      </w:r>
      <w:r>
        <w:rPr>
          <w:rFonts w:hint="eastAsia" w:ascii="宋体" w:hAnsi="宋体" w:cs="宋体"/>
          <w:color w:val="000000"/>
          <w:sz w:val="24"/>
          <w:highlight w:val="none"/>
          <w:lang w:val="en-US" w:eastAsia="zh-CN"/>
        </w:rPr>
      </w:r>
      <w:r/>
    </w:p>
    <w:p>
      <w:pPr>
        <w:pStyle w:val="859"/>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  在国家政策鼓励支持下，为提高医疗水平，降低医疗成本，实现资源共享，发挥更大的社会效益，乙方为甲方提供专业的病理诊断服务，协助甲方提升科室技术水平和服务能力，助力实现甲方医院的高质量可持续发展。</w:t>
      </w:r>
      <w:r>
        <w:rPr>
          <w:rFonts w:hint="eastAsia" w:ascii="宋体" w:hAnsi="宋体" w:cs="宋体"/>
          <w:color w:val="000000"/>
          <w:sz w:val="24"/>
          <w:highlight w:val="none"/>
          <w:lang w:val="en-US" w:eastAsia="zh-CN"/>
        </w:rPr>
      </w:r>
      <w:r/>
    </w:p>
    <w:p>
      <w:pPr>
        <w:pStyle w:val="859"/>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lang w:val="en-US" w:eastAsia="zh-CN"/>
        </w:rPr>
        <w:t xml:space="preserve">范围</w:t>
      </w:r>
      <w:r>
        <w:rPr>
          <w:rFonts w:hint="eastAsia" w:ascii="宋体" w:hAnsi="宋体" w:cs="宋体"/>
          <w:color w:val="000000"/>
          <w:sz w:val="24"/>
          <w:highlight w:val="none"/>
          <w:lang w:val="en-US" w:eastAsia="zh-CN"/>
        </w:rPr>
      </w:r>
      <w:r/>
    </w:p>
    <w:p>
      <w:pPr>
        <w:pStyle w:val="859"/>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根据甲方发展的需要，乙方可为甲方病理科提供：病理诊断服务、质量控制、病理科规划建设、技术平台搭建、科研支持、人才梯队建设、管理体系建设等专业的服务。</w:t>
      </w:r>
      <w:r>
        <w:rPr>
          <w:rFonts w:hint="eastAsia" w:ascii="宋体" w:hAnsi="宋体" w:cs="宋体"/>
          <w:color w:val="000000"/>
          <w:sz w:val="24"/>
          <w:highlight w:val="none"/>
          <w:lang w:val="en-US" w:eastAsia="zh-CN"/>
        </w:rPr>
      </w:r>
      <w:r/>
    </w:p>
    <w:p>
      <w:pPr>
        <w:pStyle w:val="89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898"/>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w:t>
      </w:r>
      <w:r>
        <w:rPr>
          <w:rFonts w:hint="eastAsia" w:hAnsi="宋体" w:cs="宋体"/>
          <w:b/>
          <w:color w:val="000000"/>
          <w:sz w:val="24"/>
          <w:szCs w:val="24"/>
          <w:highlight w:val="none"/>
          <w:lang w:val="en-US" w:eastAsia="zh-CN"/>
        </w:rPr>
        <w:t xml:space="preserve">优惠率</w:t>
      </w:r>
      <w:r>
        <w:rPr>
          <w:rFonts w:hAnsi="宋体" w:cs="宋体"/>
          <w:b/>
          <w:color w:val="000000"/>
          <w:sz w:val="24"/>
          <w:szCs w:val="24"/>
          <w:highlight w:val="none"/>
        </w:rPr>
        <w:t xml:space="preserve">（人民币，下同）：</w:t>
      </w:r>
      <w:r>
        <w:rPr>
          <w:rFonts w:hAnsi="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w:t>
      </w:r>
      <w:r>
        <w:rPr>
          <w:rFonts w:hAnsi="宋体" w:cs="宋体"/>
          <w:b/>
          <w:color w:val="000000"/>
          <w:sz w:val="24"/>
          <w:szCs w:val="24"/>
          <w:highlight w:val="none"/>
        </w:rPr>
        <w:t xml:space="preserve">。 </w:t>
      </w:r>
      <w:r>
        <w:rPr>
          <w:rFonts w:hAnsi="宋体" w:cs="宋体"/>
          <w:b/>
          <w:color w:val="000000"/>
          <w:sz w:val="24"/>
          <w:szCs w:val="24"/>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p>
      <w:pPr>
        <w:pStyle w:val="89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合同履行期限</w:t>
      </w:r>
      <w:r>
        <w:rPr>
          <w:rFonts w:hAnsi="宋体" w:cs="宋体"/>
          <w:b/>
          <w:color w:val="000000"/>
          <w:sz w:val="24"/>
          <w:szCs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本项目服务期限为三年（   年  月   日-   年  月  日）</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9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第四条 组成本合同的有关文件</w:t>
      </w:r>
      <w:r>
        <w:rPr>
          <w:rFonts w:hAnsi="宋体" w:cs="宋体"/>
          <w:b/>
          <w:color w:val="000000"/>
          <w:sz w:val="24"/>
          <w:szCs w:val="24"/>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3.结算原则：</w:t>
      </w:r>
      <w:r>
        <w:rPr>
          <w:rFonts w:hint="eastAsia" w:ascii="宋体" w:hAnsi="宋体" w:eastAsia="宋体"/>
          <w:color w:val="000000"/>
          <w:sz w:val="24"/>
          <w:szCs w:val="24"/>
          <w:highlight w:val="none"/>
          <w:lang w:val="en-US" w:eastAsia="zh-CN"/>
        </w:rPr>
        <w:t xml:space="preserve">病理科</w:t>
      </w:r>
      <w:r>
        <w:rPr>
          <w:rFonts w:hint="eastAsia" w:ascii="宋体" w:hAnsi="宋体" w:eastAsia="宋体"/>
          <w:color w:val="000000"/>
          <w:sz w:val="24"/>
          <w:szCs w:val="24"/>
          <w:highlight w:val="none"/>
        </w:rPr>
        <w:t xml:space="preserve">开展的项目</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按照</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1-中标优惠率</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*《常州地区公立医院基本医疗服务项目价格汇总表》三级收费标准进行</w:t>
      </w:r>
      <w:r>
        <w:rPr>
          <w:rFonts w:ascii="宋体" w:hAnsi="宋体" w:eastAsia="宋体"/>
          <w:color w:val="000000"/>
          <w:sz w:val="24"/>
          <w:szCs w:val="24"/>
          <w:highlight w:val="none"/>
        </w:rPr>
        <w:t xml:space="preserve">支付。</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t xml:space="preserve">：</w:t>
      </w:r>
      <w:r>
        <w:rPr>
          <w:rFonts w:hint="eastAsia" w:ascii="宋体" w:hAnsi="宋体" w:eastAsia="宋体" w:cs="Times New Roman"/>
          <w:color w:val="000000"/>
          <w:sz w:val="24"/>
          <w:szCs w:val="24"/>
          <w:highlight w:val="none"/>
          <w:lang w:val="en-US" w:eastAsia="zh-CN"/>
        </w:rPr>
        <w:t xml:space="preserve">服务费用按季度结算。每个季度结束后五日内，乙方通过现场递交、邮寄发函或发送电子邮件等方式向甲方提供业务电子清单，清单内容含时间、姓名、项目、医生姓名、数量及金额等；甲方应在收到电子清单10个工作日内核对无误后予以书面确认（由甲方工作人员签字或盖财务章或盖公章确认），甲方逾期未予以确认且未书面提出清单有误的，视为同意按乙方提供的清单进行结算。乙方按清单确定的金额向甲方提供合格的发票，甲方在收到发票后30日内将上季度检测服务费用汇入乙方指定帐户，如汇款截止日为节假日，可顺延一个工作日。</w:t>
      </w:r>
      <w:r>
        <w:rPr>
          <w:rFonts w:hint="eastAsia" w:ascii="宋体" w:hAnsi="宋体" w:eastAsia="宋体"/>
          <w:color w:val="000000"/>
          <w:sz w:val="24"/>
          <w:szCs w:val="24"/>
          <w:highlight w:val="none"/>
        </w:rPr>
      </w:r>
      <w:r/>
    </w:p>
    <w:p>
      <w:pPr>
        <w:pStyle w:val="8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甲方应将款项支付至乙方指定的以下账户，不得以现金、转账等任何方式支付给乙方任何工作人员及其他第三方，否则，由甲方承担不利后果，乙方有权要求甲方支付相应服务费。甲乙双方账户信息如下：</w:t>
      </w:r>
      <w:r>
        <w:rPr>
          <w:rFonts w:hint="eastAsia"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甲方开票账户信息：</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纳税人识别号：</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单位账号：</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乙方账户信息：</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户：</w:t>
      </w:r>
      <w:r>
        <w:rPr>
          <w:rFonts w:ascii="宋体" w:hAnsi="宋体" w:eastAsia="宋体" w:cs="宋体"/>
          <w:color w:val="000000"/>
          <w:sz w:val="24"/>
          <w:szCs w:val="24"/>
          <w:highlight w:val="none"/>
        </w:rPr>
      </w:r>
      <w:r/>
    </w:p>
    <w:p>
      <w:pPr>
        <w:pStyle w:val="89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.未经乙方书面盖章确认，乙方的代理人无权代表乙方作任何有关放弃、减免费用、降低合作扣率等承诺。</w:t>
      </w:r>
      <w:r>
        <w:rPr>
          <w:rFonts w:ascii="宋体" w:hAnsi="宋体" w:eastAsia="宋体" w:cs="宋体"/>
          <w:color w:val="000000"/>
          <w:sz w:val="24"/>
          <w:szCs w:val="24"/>
          <w:highlight w:val="none"/>
          <w:lang w:val="en-US" w:eastAsia="zh-CN"/>
        </w:rPr>
      </w:r>
      <w:r/>
    </w:p>
    <w:p>
      <w:pPr>
        <w:pStyle w:val="859"/>
        <w:ind w:firstLine="482"/>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第六条 双方的权利与义务</w:t>
      </w:r>
      <w:r>
        <w:rPr>
          <w:rFonts w:hint="eastAsia" w:ascii="宋体" w:hAnsi="宋体" w:eastAsia="宋体" w:cs="宋体"/>
          <w:b/>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甲方权利和义务</w:t>
      </w: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1．甲方应系具备独立法人资质及合法诊疗资质的医疗机构，向乙方提供医疗机构执业许可证、营业执照/事业单位法人证书等资质文件材料，确保双方合作期间合法合规，必要时就双方合作向主管部门备案。</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2．病理科是甲方下属的临床辅助科室，由甲方统一管理，遵守甲方各项医疗管理规定及运营要求。甲方应按医院制度，落实病理科的各项管理。</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3．甲方是病理科医疗质量的责任主体，应加强对病理科医疗质量和医疗安全的监管和管理。因乙方原因导致医疗纠纷的，甲方有权向乙方追责。</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甲方所属的医疗、辅诊、财务、安全保卫、后勤及行政等科室，应向病理科提供完善的配套服务，包括维护病理科所需的医疗用房、水、电、生活用品、办公用品、能满足工作开展需要的网络、维持病理科正常运营所需的基础服务（包括不限于保洁、医疗废物/液处理），所需成本由甲方承担。</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5．病理科检测项目开展运营所需的医用耗材、检验试剂、易燃易爆物质或危险化学品等，由甲方依法统一采购，成本由乙方承担。</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甲方医务人员的人事关系、人员费用、社保、公积金及绩效等由甲方负责，按甲方规定执行，成本由乙方检测服务费用内进行承担并扣除。乙方有权建议甲方对甲方人员进行工作调整，包括但不限于调岗、更换等，具体决定权在甲方。</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7．甲方负责办理病理科开展项目的物价申请、科室各类法定手续和检查报告的临床应用工作。</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8．甲方负责对病理科开展的相关检验项目的相关内容进行核对，包括项目名称、方法学、收费标准（按照甲方所属地级市公立医疗服务价格所对应的甲方收费等级标准收费）。</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9．为规范管理,所有送检标本需按照病理科标准申请单等规范文件执行，如不合格，病理科可拒收，并通知医院相关科室。</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甲方病理科开展的项目，须依法依规做好填写申请单、样本的采集、固定、运送等工作，并对样本来源的合法性、准确性和完整性负责，确保样本信息与申请单信息相符。乙方仅对送检标本的检验结果负责，不承担样本分析前的责任。</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甲方应配合乙方按月提供病理科检测相关数据，包括医院项目代码、医院项目名称、医院条码、标本接收日期、医院价格等，不包括个人信息及医学信息。提供的方式为系统接口对接或按乙方要求的标准格式导出，如需系统对接，首次接口费用由乙方承担。乙方有权在提前3个工作日书面通知后要求查询病理科相关财务及运营数据和信息，甲方应配合提供与乙方服务直接相关的数据。</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甲方负责提供病理科信息终端服务系统对接的支持和保障，首次接口费用由乙方承担。保证工作的效率和质量。在进行病理科质量控制体系建设、资质验收审核过程中，甲方其他相关科室与部门应全力配合病理科开展相关质量管理工作。</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13．如甲方需乙方提供远程诊断平台服务的，由甲方负责办理关于远程诊断平台搭建所需的医院手续等相关事宜。</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14．为保证甲方医院病理科工作的正常进行，根据甲方的需要，乙方合作初期可根据医院的情况派驻技术员，支持病理科日常业务开展，甲方负责按照医院标准协助提供乙方派驻技术员的食宿便利。</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15．甲方协助乙方派驻技术员提供食宿便利，具体食宿标准参照甲方医院现行员工食宿标准执行。食宿费用由乙方按实际发生额向甲方支付，或由乙方自行承担，双方可另行书面约定。</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（二）乙方权利和义务</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病理科规划建设</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按照国家相关规定、医院等级评审标准及当地病理科建设标准，结合甲方场地的实际情况，为甲方提供病理科整体运营服务及病理科分子病理室的建设、审批验收、技术平台搭建等，并承担以下运营成本：人力成本、试剂耗材成本、仪器设备投入与维护成本、新建分子实验室与平台的装修成本、智慧化病理平台建设成本。</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质量管理体系建设及科室评审辅导</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1．乙方协助甲方建立健全病理科管理制度体系，不断完善病理科各项规章制度和工作制度，严格遵守相关技术规范和标准，保证检测质量。</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乙方协助甲方落实各项室内质控制度，加强病理科质量控制和管理，并建立质量管理记录，加强病理科生物安全管理，严格按照ISO15189质量管理体系对人员、仪器、环境、检测方法、记录、样品等因素进行监控及记录，以确保检验诊断结果的可靠性。</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乙方应建立病理诊断服务的可量化质量评价体系，包括但不限于诊断准确率、报告时效、客户满意度等指标，并于每月10日前向甲方提交上月服务质量报告，报告内容应涵盖质控记录、设备维护清单、整改措施及质量评价结果。甲方有权对质量评价体系的执行情况进行监督和核查。</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4．乙方协助甲方每年定期参加室间质量评价机构组织的临床病理科室间质量评价活动，以保证检测及诊断结果的质量，相关费用由乙方承担。</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5．甲方需开展医院等级评审工作的，乙方可委派专业人员为甲方病理科评审筹备工作提供协助支持。</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学科人才队伍培训建设</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乙方可为甲方病理科医技人员提供短、中、长期的培训学习的机会，每年度至少为甲方病理科医技人员提供2次专项技术培训，满足医院对人才梯队建设的需求，培训期间乙方为培训人员提供住宿，培训人员其他开支由甲方自行负责。</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2．乙方可派学术专员协助病理科增强与临床沟通，并定期参与病理科与临床科室的学术交流沟通会，促进现有项目的临床推广应用，病理科新开展项目不得与甲方检验科已开展项目构成竞争。</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3．甲方病理科医技人员每年参加不低于2次的省级及以上学术会议，每次不低于2人，相关会议差旅注册等费用成本由乙方承担。</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资源共享与科研协作支持</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1．乙方在遵守国家相关政策的前提下，协助甲方申报、开展相关课题研究，提供相关指导及技术平台支持，双方另行约定知识产权归属。</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2．乙方有权要求甲方提供双方合作过程中产生的相关临床资料信息，且相关信息在脱敏后乙方可用于诊断、教学培训，科研等用途，同时乙方可为甲方提供数据整合分析及结构化处理等服务。</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疑难会诊专家支持</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1．甲方每月可筛选1-2个有价值的疑难病例送检乙方的国际远程会诊，乙方不收取会诊费用，对于国际方也认为有价值的病例可进一步协商联合投稿学术刊物，所产生的相关费用由双方共同承担。</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病理科学科建设规划服务</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根据甲方需求，乙方可协助甲方进行市重点专科建设规划，围绕重点专科建设，开展分子病理、分子遗传项目、亚专科特色病理诊断项目及亚专科相关课题申报等科研学术支持服务。合作期内，协助通过市重点专科评定。</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病理诊断平台搭建及病理诊断相关服务</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bookmarkStart w:id="817" w:name="_Hlk98942492"/>
      <w:r>
        <w:rPr>
          <w:rFonts w:hint="eastAsia" w:ascii="宋体" w:hAnsi="宋体" w:eastAsia="宋体" w:cs="宋体"/>
          <w:color w:val="000000"/>
          <w:sz w:val="24"/>
          <w:highlight w:val="none"/>
          <w:lang w:val="en-US" w:eastAsia="zh-CN"/>
        </w:rPr>
        <w:t xml:space="preserve">1．乙方</w:t>
      </w:r>
      <w:r>
        <w:rPr>
          <w:rFonts w:hint="eastAsia" w:ascii="宋体" w:hAnsi="宋体" w:eastAsia="宋体" w:cs="宋体"/>
          <w:color w:val="000000"/>
          <w:sz w:val="24"/>
          <w:highlight w:val="none"/>
          <w:lang w:val="en-US" w:eastAsia="zh-CN"/>
        </w:rPr>
        <w:t xml:space="preserve">为</w:t>
      </w:r>
      <w:r>
        <w:rPr>
          <w:rFonts w:hint="eastAsia" w:ascii="宋体" w:hAnsi="宋体" w:eastAsia="宋体" w:cs="宋体"/>
          <w:color w:val="000000"/>
          <w:sz w:val="24"/>
          <w:highlight w:val="none"/>
          <w:lang w:val="en-US" w:eastAsia="zh-CN"/>
        </w:rPr>
        <w:t xml:space="preserve">甲方搭建远程病理诊断平台，两个院区互联互通，提供所需设备及软件。在合作期内，乙方为甲方提供系统的对接、维护、保养及升级等服务（人为不当使用损坏除外）。</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bookmarkEnd w:id="817"/>
      <w:r>
        <w:rPr>
          <w:rFonts w:hint="eastAsia" w:ascii="宋体" w:hAnsi="宋体" w:eastAsia="宋体" w:cs="宋体"/>
          <w:color w:val="000000"/>
          <w:sz w:val="24"/>
          <w:highlight w:val="none"/>
          <w:lang w:val="en-US" w:eastAsia="zh-CN"/>
        </w:rPr>
        <w:t xml:space="preserve">2．乙方协助甲方开展远程病理教学，定期开展病理学习讲座，病理读片会等活动，每季度不低于一次，提高病理科的病理诊断水平。</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乙方协助甲方完善现有病理平台项目种类，根据医院实际情况，开展更丰富的免疫组化、特殊染色、免疫荧光、细胞学检测、分子病理等病理检测项目，并为甲方病理科检测平台完善提供培训支持，保障甲方能够独立开展新进项目。</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4．协助病理样本保存及临床数据整合</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乙方为甲方提供病理诊断后剩余的有价值病理标本的第三方存储，并对所保存样本进行石蜡包埋、DNA提取等工作，经甲方同意后，乙方可以为科学研究目的使用该样本。（乙方使用样本前应向甲方提交书面申请，甲方应在15个工作日内书面答复，逾期未答复视为不同意。）乙方在有效利用样本资源的同时，应支持甲方今后开展相关的科学研究。</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（2）乙方为甲方提供进行病理诊断患者的临床数据整合与结构化服务，并协助甲方为离院患者提供标准化随访服务，协助甲方搭建医患沟通平台。</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设备、试剂耗材：</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1．双方约定，共同维护病理科仪器设备的正常使用。甲方负责按上级管理规定及时为仪器进行校验，乙方提供必要的协助，并配合甲方对所有仪器设备统一进行维护管理。</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2．病理科所需试剂、耗材甲乙双方本着质量保证和成本控制的原则，同等条件下优先选择由乙方建议的符合资质的公司提供，由甲方负责采购。</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3．乙方建议选用的试剂耗材应符合国家试剂耗材、仪器使用相关规定，并按照医院的试剂耗材管理体系纳入管理。</w:t>
      </w:r>
      <w:r>
        <w:rPr>
          <w:rFonts w:hint="eastAsia" w:ascii="宋体" w:hAnsi="宋体" w:eastAsia="宋体" w:cs="宋体"/>
          <w:color w:val="000000"/>
          <w:sz w:val="24"/>
          <w:highlight w:val="none"/>
          <w:lang w:val="en-US" w:eastAsia="zh-CN"/>
        </w:rPr>
      </w:r>
      <w:r/>
    </w:p>
    <w:p>
      <w:pPr>
        <w:pStyle w:val="85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第七条 </w:t>
      </w:r>
      <w:r>
        <w:rPr>
          <w:rFonts w:hint="eastAsia" w:ascii="宋体" w:hAnsi="宋体" w:eastAsia="宋体" w:cs="宋体"/>
          <w:b/>
          <w:bCs/>
          <w:color w:val="000000"/>
          <w:sz w:val="24"/>
          <w:highlight w:val="none"/>
        </w:rPr>
        <w:t xml:space="preserve">廉洁条款</w:t>
      </w:r>
      <w:r>
        <w:rPr>
          <w:rFonts w:hint="eastAsia" w:ascii="宋体" w:hAnsi="宋体" w:eastAsia="宋体" w:cs="宋体"/>
          <w:b/>
          <w:bCs/>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甲乙双方通力合作共同禁止违反《反不正当竞争法》、《关于禁止商业贿赂行为的暂行规定》等相关法律法规规定的不正当竞争行为。</w:t>
      </w: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甲乙双方工作人员不得以私自收费、私自送检等任何方式，实施损害双方或任一方权益的行为。</w:t>
      </w: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任一方工作人员要求对方给予其任何形式的不正当利益，对方必须及时向工作人员所属方进行投诉或反馈，并协助提供相关证据。</w:t>
      </w: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双方设定专线接受投诉，如双方的工作人员存在行贿或受贿累计额较大，构成违法犯罪的，移交给国家相应的司法机关处理，双方应积极配合司法机关的处理。</w:t>
      </w:r>
      <w:r>
        <w:rPr>
          <w:rFonts w:hint="eastAsia" w:ascii="宋体" w:hAnsi="宋体" w:eastAsia="宋体" w:cs="宋体"/>
          <w:color w:val="000000"/>
          <w:sz w:val="24"/>
          <w:highlight w:val="none"/>
        </w:rPr>
      </w:r>
      <w:r/>
    </w:p>
    <w:p>
      <w:pPr>
        <w:pStyle w:val="859"/>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第八条 个人信息与数据安全</w:t>
      </w:r>
      <w:r>
        <w:rPr>
          <w:rFonts w:hint="eastAsia" w:ascii="宋体" w:hAnsi="宋体" w:eastAsia="宋体" w:cs="宋体"/>
          <w:b/>
          <w:bCs/>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甲乙双方深知个人信息等受监管数据依法依规处理及保护的重要性，各方应当按照法律法规、相关标准等规定，采取相应的安全保护措施保护及处理受检者的个人信息及受监管的数据。一方因履行本协议之目的交付、传输给另一方的个人信息、数据等，接收方及其工作人员应按法律法规的要求进行保护及处理。否则，违规方应承担因此导致的受检者个人信息泄露产生的相关责任及损失，并赔偿另一方损失。</w:t>
      </w: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乙方违反个人信息保护义务的，每次违约应向甲方支付人民币伍万元违约金，且应自行承担监管部门处罚。</w:t>
      </w: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甲方应当依法依规保护受检者的个人信息，因履行本协议之目的，提供给乙方的受检者信息应进行匿名化处理或依法履行告知及取得受检者同意的义务，同意乙方按本协议约定之目的合法使用处理个人信息。乙方若涉及处理个人信息的，应进行相应信息安全措施。</w:t>
      </w:r>
      <w:r>
        <w:rPr>
          <w:rFonts w:hint="eastAsia" w:ascii="宋体" w:hAnsi="宋体" w:eastAsia="宋体" w:cs="宋体"/>
          <w:color w:val="000000"/>
          <w:sz w:val="24"/>
          <w:highlight w:val="none"/>
        </w:rPr>
      </w:r>
      <w:r/>
    </w:p>
    <w:p>
      <w:pPr>
        <w:pStyle w:val="859"/>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甲乙任一方有权因科研项目、发表论文、数据分析等需要使用本协议所产生的信息、数据及相关剩余样本（如有），但应将受检者信息去标识化，依照法律法规的规定合法使用并依法自行承担责任；一方如需另一方协助的，另一方应当协助，并根据需要另行签订协议明确。</w:t>
      </w:r>
      <w:r>
        <w:rPr>
          <w:rFonts w:ascii="宋体" w:hAnsi="宋体" w:eastAsia="宋体" w:cs="宋体"/>
          <w:color w:val="000000"/>
          <w:sz w:val="24"/>
          <w:highlight w:val="none"/>
          <w:lang w:val="en-US" w:eastAsia="zh-CN"/>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协议的解除与终止</w:t>
      </w:r>
      <w:r>
        <w:rPr>
          <w:rFonts w:ascii="宋体" w:hAnsi="宋体" w:cs="宋体"/>
          <w:b/>
          <w:color w:val="000000"/>
          <w:sz w:val="24"/>
          <w:highlight w:val="none"/>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1、协议期间，存在以下情形之一的，甲、乙方有权解除合同，并按本协议约定承担违约责任：</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在本协议生效之日起3个月仍无法完成病理诊断平台建设，无法提供病理诊断相关服务时，经催告后仍无法及时完成且超过30日，甲方有权解除本合同。若因乙方原因导致病理诊断平台建设逾期，每逾期一日应按合同总金额的0.1%支付违约金，甲方有权解除合同并要求乙方承担相应违约责任。 </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因法律法规、行政政策调整等不可抗力因素，导致需缺乏合作基础时，甲方有权解除本合同。</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（3）乙方未按合同约定提供专业技术支持或服务质量未达到约定标准，经甲方书面通知整改后仍未改善的，甲方有权解除合同。</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2、存在以下情形之一的，乙方有权选择中止合作或选择直接解除本合同：</w:t>
      </w:r>
      <w:r>
        <w:rPr>
          <w:rFonts w:hint="eastAsia" w:ascii="宋体" w:hAnsi="宋体" w:eastAsia="宋体" w:cs="宋体"/>
          <w:color w:val="000000"/>
          <w:sz w:val="24"/>
          <w:highlight w:val="none"/>
          <w:lang w:val="en-US" w:eastAsia="zh-CN"/>
        </w:rPr>
      </w:r>
      <w:r/>
    </w:p>
    <w:p>
      <w:pPr>
        <w:pStyle w:val="927"/>
        <w:ind w:left="0" w:firstLine="0"/>
        <w:rPr>
          <w:rFonts w:ascii="仿宋" w:hAnsi="仿宋" w:cs="仿宋"/>
          <w:color w:val="000000"/>
          <w:sz w:val="24"/>
          <w:szCs w:val="24"/>
          <w:highlight w:val="none"/>
        </w:rPr>
      </w:pPr>
      <w:r>
        <w:rPr>
          <w:rFonts w:ascii="仿宋" w:hAnsi="仿宋" w:cs="仿宋"/>
          <w:color w:val="000000"/>
          <w:sz w:val="24"/>
          <w:szCs w:val="24"/>
          <w:highlight w:val="none"/>
        </w:rPr>
        <w:t xml:space="preserve">（</w:t>
      </w:r>
      <w:r>
        <w:rPr>
          <w:rFonts w:hint="eastAsia" w:ascii="仿宋" w:hAnsi="仿宋" w:cs="仿宋"/>
          <w:color w:val="000000"/>
          <w:sz w:val="24"/>
          <w:szCs w:val="24"/>
          <w:highlight w:val="none"/>
          <w:lang w:val="en-US" w:eastAsia="zh-CN"/>
        </w:rPr>
        <w:t xml:space="preserve">1</w:t>
      </w:r>
      <w:r>
        <w:rPr>
          <w:rFonts w:ascii="仿宋" w:hAnsi="仿宋" w:cs="仿宋"/>
          <w:color w:val="000000"/>
          <w:sz w:val="24"/>
          <w:szCs w:val="24"/>
          <w:highlight w:val="none"/>
        </w:rPr>
        <w:t xml:space="preserve">）甲方</w:t>
      </w:r>
      <w:r>
        <w:rPr>
          <w:rFonts w:hint="eastAsia" w:ascii="仿宋" w:hAnsi="仿宋" w:cs="仿宋"/>
          <w:color w:val="000000"/>
          <w:sz w:val="24"/>
          <w:szCs w:val="24"/>
          <w:highlight w:val="none"/>
          <w:lang w:eastAsia="zh-CN"/>
        </w:rPr>
        <w:t xml:space="preserve">病理科</w:t>
      </w:r>
      <w:r>
        <w:rPr>
          <w:rFonts w:ascii="仿宋" w:hAnsi="仿宋" w:cs="仿宋"/>
          <w:color w:val="000000"/>
          <w:sz w:val="24"/>
          <w:szCs w:val="24"/>
          <w:highlight w:val="none"/>
        </w:rPr>
        <w:t xml:space="preserve">停业整顿、中止或中断经营达</w:t>
      </w:r>
      <w:r>
        <w:rPr>
          <w:rFonts w:ascii="仿宋" w:hAnsi="仿宋" w:cs="仿宋"/>
          <w:color w:val="000000"/>
          <w:sz w:val="24"/>
          <w:szCs w:val="24"/>
          <w:highlight w:val="none"/>
          <w:u w:val="single"/>
        </w:rPr>
        <w:t xml:space="preserve">   </w:t>
      </w:r>
      <w:r>
        <w:rPr>
          <w:rFonts w:ascii="仿宋" w:hAnsi="仿宋" w:cs="仿宋"/>
          <w:color w:val="000000"/>
          <w:sz w:val="24"/>
          <w:szCs w:val="24"/>
          <w:highlight w:val="none"/>
        </w:rPr>
        <w:t xml:space="preserve">个月及以上的；</w:t>
      </w:r>
      <w:r>
        <w:rPr>
          <w:rFonts w:ascii="仿宋" w:hAnsi="仿宋" w:cs="仿宋"/>
          <w:color w:val="000000"/>
          <w:sz w:val="24"/>
          <w:szCs w:val="24"/>
          <w:highlight w:val="none"/>
        </w:rPr>
      </w:r>
      <w:r/>
    </w:p>
    <w:p>
      <w:pPr>
        <w:pStyle w:val="927"/>
        <w:ind w:left="0" w:firstLine="0"/>
        <w:rPr>
          <w:rFonts w:ascii="仿宋" w:hAnsi="仿宋" w:cs="仿宋"/>
          <w:color w:val="000000"/>
          <w:sz w:val="24"/>
          <w:szCs w:val="24"/>
          <w:highlight w:val="none"/>
        </w:rPr>
      </w:pPr>
      <w:r>
        <w:rPr>
          <w:rFonts w:ascii="仿宋" w:hAnsi="仿宋" w:cs="仿宋"/>
          <w:color w:val="000000"/>
          <w:sz w:val="24"/>
          <w:szCs w:val="24"/>
          <w:highlight w:val="none"/>
        </w:rPr>
        <w:t xml:space="preserve">（</w:t>
      </w:r>
      <w:r>
        <w:rPr>
          <w:rFonts w:hint="eastAsia" w:ascii="仿宋" w:hAnsi="仿宋" w:cs="仿宋"/>
          <w:color w:val="000000"/>
          <w:sz w:val="24"/>
          <w:szCs w:val="24"/>
          <w:highlight w:val="none"/>
          <w:lang w:val="en-US" w:eastAsia="zh-CN"/>
        </w:rPr>
        <w:t xml:space="preserve">2</w:t>
      </w:r>
      <w:r>
        <w:rPr>
          <w:rFonts w:ascii="仿宋" w:hAnsi="仿宋" w:cs="仿宋"/>
          <w:color w:val="000000"/>
          <w:sz w:val="24"/>
          <w:szCs w:val="24"/>
          <w:highlight w:val="none"/>
        </w:rPr>
        <w:t xml:space="preserve">）本协议签订后</w:t>
      </w:r>
      <w:r>
        <w:rPr>
          <w:rFonts w:ascii="仿宋" w:hAnsi="仿宋" w:cs="仿宋"/>
          <w:color w:val="000000"/>
          <w:sz w:val="24"/>
          <w:szCs w:val="24"/>
          <w:highlight w:val="none"/>
          <w:u w:val="single"/>
        </w:rPr>
        <w:t xml:space="preserve">   </w:t>
      </w:r>
      <w:r>
        <w:rPr>
          <w:rFonts w:ascii="仿宋" w:hAnsi="仿宋" w:cs="仿宋"/>
          <w:color w:val="000000"/>
          <w:sz w:val="24"/>
          <w:szCs w:val="24"/>
          <w:highlight w:val="none"/>
        </w:rPr>
        <w:t xml:space="preserve">个月内，因甲方原因</w:t>
      </w:r>
      <w:r>
        <w:rPr>
          <w:rFonts w:hint="eastAsia" w:ascii="仿宋" w:hAnsi="仿宋" w:cs="仿宋"/>
          <w:color w:val="000000"/>
          <w:sz w:val="24"/>
          <w:szCs w:val="24"/>
          <w:highlight w:val="none"/>
          <w:lang w:eastAsia="zh-CN"/>
        </w:rPr>
        <w:t xml:space="preserve">病理科</w:t>
      </w:r>
      <w:r>
        <w:rPr>
          <w:rFonts w:ascii="仿宋" w:hAnsi="仿宋" w:cs="仿宋"/>
          <w:color w:val="000000"/>
          <w:sz w:val="24"/>
          <w:szCs w:val="24"/>
          <w:highlight w:val="none"/>
        </w:rPr>
        <w:t xml:space="preserve">未能正式合法开展项目检测的；</w:t>
      </w:r>
      <w:r>
        <w:rPr>
          <w:rFonts w:ascii="仿宋" w:hAnsi="仿宋" w:cs="仿宋"/>
          <w:color w:val="000000"/>
          <w:sz w:val="24"/>
          <w:szCs w:val="24"/>
          <w:highlight w:val="none"/>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3、按本协议约定行使合同解除权的，应提前30天书面通知另一方，本协议自解除通知到达另一方30天之次日起解除，由违约方承担违约责任。</w:t>
      </w:r>
      <w:r>
        <w:rPr>
          <w:rFonts w:hint="eastAsia" w:ascii="宋体" w:hAnsi="宋体" w:eastAsia="宋体" w:cs="宋体"/>
          <w:color w:val="000000"/>
          <w:sz w:val="24"/>
          <w:highlight w:val="none"/>
          <w:lang w:val="en-US" w:eastAsia="zh-CN"/>
        </w:rPr>
      </w:r>
      <w:r/>
    </w:p>
    <w:p>
      <w:pPr>
        <w:pStyle w:val="85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4、除本合同另有约定外，任一方不得提前解除本协议，否则属于违约，应承担违约责任并赔偿守约方损失。</w:t>
      </w:r>
      <w:r>
        <w:rPr>
          <w:rFonts w:hint="eastAsia" w:ascii="宋体" w:hAnsi="宋体" w:eastAsia="宋体" w:cs="宋体"/>
          <w:color w:val="000000"/>
          <w:sz w:val="24"/>
          <w:highlight w:val="none"/>
          <w:lang w:val="en-US" w:eastAsia="zh-CN"/>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其他未尽事宜，以《民法典》等有关法律法规规定为准，无相关规定的，双方协商解决。</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条 合同的变更和终止</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十一</w:t>
      </w:r>
      <w:r>
        <w:rPr>
          <w:rFonts w:hint="eastAsia" w:ascii="宋体" w:hAnsi="宋体" w:cs="宋体"/>
          <w:b/>
          <w:color w:val="000000"/>
          <w:sz w:val="24"/>
          <w:highlight w:val="none"/>
        </w:rPr>
        <w:t xml:space="preserve">条 合同的转让</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十二</w:t>
      </w:r>
      <w:r>
        <w:rPr>
          <w:rFonts w:hint="eastAsia" w:ascii="宋体" w:hAnsi="宋体" w:cs="宋体"/>
          <w:b/>
          <w:color w:val="000000"/>
          <w:sz w:val="24"/>
          <w:highlight w:val="none"/>
        </w:rPr>
        <w:t xml:space="preserve">条 不可抗力</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条 其他事项</w:t>
      </w:r>
      <w:r>
        <w:rPr>
          <w:rFonts w:ascii="宋体" w:hAnsi="宋体" w:cs="宋体"/>
          <w:b/>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甲、乙双方合作期间，均应认真履行协议规定的双方权利和义务，本着“求大同，存小异”和互谅互让的原则，尽力维护患者和甲、乙双方的权益，确保合作顺利进行。如一方违反本协议，守约方有权要求解除合同，并要求违约方承担由此产生的经济损失。如双方协商继续履行合同，应赔偿守约方的</w:t>
      </w:r>
      <w:r>
        <w:rPr>
          <w:rFonts w:hint="eastAsia" w:ascii="宋体" w:hAnsi="宋体" w:eastAsia="宋体" w:cs="宋体"/>
          <w:color w:val="000000"/>
          <w:sz w:val="24"/>
          <w:highlight w:val="none"/>
          <w:lang w:val="en-US" w:eastAsia="zh-CN"/>
        </w:rPr>
        <w:t xml:space="preserve">直接</w:t>
      </w:r>
      <w:r>
        <w:rPr>
          <w:rFonts w:hint="eastAsia" w:ascii="宋体" w:hAnsi="宋体" w:eastAsia="宋体" w:cs="宋体"/>
          <w:color w:val="000000"/>
          <w:sz w:val="24"/>
          <w:highlight w:val="none"/>
        </w:rPr>
        <w:t xml:space="preserve">经济损失。</w:t>
      </w: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如合作期间发生纠纷的，甲、乙双方均应积极、稳妥解决，双方互通信息，相互协作。甲乙双方同意采用过错责任原则，属于甲方过错由甲方承担责任，属于乙方过错由乙方承担责任，无责任方对外承担责任后可向责任方追偿；如双方均有过错，根据双方各自的过错承担相应的责任。</w:t>
      </w: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甲、乙双方如遇不可抗力无法履行协议的，包括国家政策、地震、水灾、战争等原因，可免除双方相关责任。但知情一方应在不可抗力事件出现后7日内及时通知对方。因不可抗力因素导致协议终止的，属于甲方、乙方自有的财产，分别由各方自行处置。</w:t>
      </w: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highlight w:val="none"/>
        </w:rPr>
      </w:pPr>
      <w:r>
        <w:rPr>
          <w:rFonts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甲、乙双方保证对于合作期间所知悉或获取对方的包括不限于原始资料、技术路线、专业方案、商业秘密、检测报告及与检测有关的资料结果及价格等保密。如发生相关内容的泄露，由此引发的责任由泄漏方承担，如造成损失的应予以全部赔偿。</w:t>
      </w:r>
      <w:r>
        <w:rPr>
          <w:rFonts w:hint="eastAsia" w:ascii="宋体" w:hAnsi="宋体" w:eastAsia="宋体" w:cs="宋体"/>
          <w:color w:val="000000"/>
          <w:sz w:val="24"/>
          <w:highlight w:val="none"/>
        </w:rPr>
      </w:r>
      <w:r/>
    </w:p>
    <w:p>
      <w:pPr>
        <w:pStyle w:val="859"/>
        <w:ind w:firstLine="480"/>
        <w:spacing w:line="360" w:lineRule="auto"/>
        <w:rPr>
          <w:rFonts w:eastAsia="仿宋"/>
          <w:color w:val="000000"/>
          <w:highlight w:val="none"/>
        </w:rPr>
      </w:pPr>
      <w:r>
        <w:rPr>
          <w:rFonts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甲、乙双方在合作履约期内，对于合作当中出现的问题，采取协商解决的方式。</w:t>
      </w:r>
      <w:r>
        <w:rPr>
          <w:rFonts w:eastAsia="仿宋"/>
          <w:color w:val="000000"/>
          <w:highlight w:val="none"/>
        </w:rPr>
      </w:r>
      <w:r/>
    </w:p>
    <w:p>
      <w:pPr>
        <w:pStyle w:val="859"/>
        <w:numPr>
          <w:ilvl w:val="0"/>
          <w:numId w:val="0"/>
        </w:numPr>
        <w:ind w:left="-6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rPr>
        <w:t xml:space="preserve">本协议未尽事宜或相关争议，由甲、乙双方订立补充协议或协商解决，协商不成，双方同意按以下第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种方式处理，并同意由败诉方承担律师费、诉讼费/仲裁费、保全费等合理维权费用。</w:t>
      </w:r>
      <w:r>
        <w:rPr>
          <w:rFonts w:hint="eastAsia" w:ascii="宋体" w:hAnsi="宋体" w:eastAsia="宋体" w:cs="宋体"/>
          <w:color w:val="000000"/>
          <w:sz w:val="24"/>
          <w:szCs w:val="24"/>
          <w:highlight w:val="none"/>
        </w:rPr>
      </w:r>
      <w:r/>
    </w:p>
    <w:p>
      <w:pPr>
        <w:pStyle w:val="85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(1)向原告所在地人民法院提起诉讼。</w:t>
      </w:r>
      <w:r>
        <w:rPr>
          <w:rFonts w:hint="eastAsia" w:ascii="宋体" w:hAnsi="宋体" w:eastAsia="宋体" w:cs="宋体"/>
          <w:color w:val="000000"/>
          <w:sz w:val="24"/>
          <w:szCs w:val="24"/>
          <w:highlight w:val="none"/>
        </w:rPr>
      </w:r>
      <w:r/>
    </w:p>
    <w:p>
      <w:pPr>
        <w:pStyle w:val="859"/>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仲裁委员会提起仲裁。</w:t>
      </w:r>
      <w:r>
        <w:rPr>
          <w:rFonts w:hint="eastAsia" w:ascii="宋体" w:hAnsi="宋体" w:eastAsia="宋体" w:cs="宋体"/>
          <w:color w:val="000000"/>
          <w:sz w:val="24"/>
          <w:szCs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.在法院审理和仲裁期间，除有争议部分外，本合同其他部分应继续履行。</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四</w:t>
      </w:r>
      <w:r>
        <w:rPr>
          <w:rFonts w:hint="eastAsia" w:ascii="宋体" w:hAnsi="宋体" w:cs="宋体"/>
          <w:b/>
          <w:color w:val="000000"/>
          <w:sz w:val="24"/>
          <w:highlight w:val="none"/>
        </w:rPr>
        <w:t xml:space="preserve">条 诚实信用 </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871"/>
        <w:tabs>
          <w:tab w:val="left" w:pos="567" w:leader="none"/>
        </w:tabs>
        <w:rPr>
          <w:color w:val="000000"/>
          <w:highlight w:val="none"/>
        </w:rPr>
      </w:pPr>
      <w:r>
        <w:rPr>
          <w:rFonts w:hint="eastAsia" w:ascii="仿宋" w:hAnsi="仿宋" w:eastAsia="仿宋" w:cs="仿宋"/>
          <w:b/>
          <w:bCs/>
          <w:color w:val="000000"/>
          <w:sz w:val="24"/>
          <w:szCs w:val="24"/>
          <w:highlight w:val="none"/>
        </w:rPr>
        <w:t xml:space="preserve">重要提示：合同各方已经认真阅读合同，完全理解、明白和同意所有合同内容，包括但不限于减轻/免除/限制对方责任的条款、己方违约责任条款。签署方在此声明和承诺，签署行为本身即意味着签署方无条件确认同意前述声明，不持任何异议。</w:t>
      </w:r>
      <w:r>
        <w:rPr>
          <w:color w:val="000000"/>
          <w:highlight w:val="none"/>
        </w:rPr>
      </w:r>
      <w:r/>
    </w:p>
    <w:p>
      <w:pPr>
        <w:pStyle w:val="859"/>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59"/>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9"/>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859"/>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8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8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859"/>
        <w:jc w:val="both"/>
        <w:spacing w:line="360" w:lineRule="auto"/>
        <w:rPr>
          <w:rFonts w:ascii="宋体" w:hAnsi="宋体"/>
          <w:b/>
          <w:color w:val="000000"/>
          <w:sz w:val="36"/>
          <w:szCs w:val="36"/>
          <w:highlight w:val="none"/>
        </w:rPr>
        <w:outlineLvl w:val="0"/>
      </w:pPr>
      <w:r>
        <w:rPr>
          <w:rFonts w:hint="eastAsia" w:ascii="宋体" w:hAnsi="宋体" w:cs="宋体"/>
          <w:color w:val="000000"/>
          <w:sz w:val="24"/>
          <w:highlight w:val="none"/>
        </w:rPr>
        <w:t xml:space="preserve">传真：                                   开户银行：        账号：</w:t>
      </w:r>
      <w:r>
        <w:rPr>
          <w:rFonts w:ascii="宋体" w:hAnsi="宋体" w:cs="宋体"/>
          <w:color w:val="000000"/>
          <w:sz w:val="24"/>
          <w:highlight w:val="none"/>
        </w:rPr>
        <w:br w:type="page" w:clear="all"/>
      </w:r>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85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9"/>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85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85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859"/>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859"/>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9"/>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859"/>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859"/>
        <w:rPr>
          <w:rFonts w:ascii="宋体" w:hAnsi="宋体"/>
          <w:b/>
          <w:color w:val="000000"/>
          <w:spacing w:val="20"/>
          <w:szCs w:val="21"/>
          <w:highlight w:val="none"/>
        </w:rPr>
      </w:pPr>
      <w:r>
        <w:rPr>
          <w:rFonts w:ascii="宋体" w:hAnsi="宋体"/>
          <w:b/>
          <w:color w:val="000000"/>
          <w:spacing w:val="20"/>
          <w:szCs w:val="21"/>
          <w:highlight w:val="none"/>
        </w:rPr>
      </w:r>
      <w:r/>
    </w:p>
    <w:p>
      <w:pPr>
        <w:pStyle w:val="859"/>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59"/>
        <w:jc w:val="center"/>
        <w:rPr>
          <w:rFonts w:ascii="宋体" w:hAnsi="宋体"/>
          <w:color w:val="000000"/>
          <w:szCs w:val="21"/>
          <w:highlight w:val="none"/>
        </w:rPr>
      </w:pPr>
      <w:r>
        <w:rPr>
          <w:rFonts w:ascii="宋体" w:hAnsi="宋体"/>
          <w:color w:val="000000"/>
          <w:szCs w:val="21"/>
          <w:highlight w:val="none"/>
        </w:rPr>
      </w:r>
      <w:r/>
    </w:p>
    <w:p>
      <w:pPr>
        <w:pStyle w:val="85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85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9"/>
        <w:jc w:val="center"/>
        <w:rPr>
          <w:rFonts w:ascii="宋体" w:hAnsi="宋体"/>
          <w:b/>
          <w:color w:val="000000"/>
          <w:sz w:val="32"/>
          <w:szCs w:val="32"/>
          <w:highlight w:val="none"/>
        </w:rPr>
      </w:pPr>
      <w:r>
        <w:rPr>
          <w:rFonts w:ascii="宋体" w:hAnsi="宋体"/>
          <w:b/>
          <w:color w:val="000000"/>
          <w:sz w:val="32"/>
          <w:szCs w:val="32"/>
          <w:highlight w:val="none"/>
        </w:rPr>
      </w:r>
      <w:r/>
    </w:p>
    <w:p>
      <w:pPr>
        <w:pStyle w:val="859"/>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59"/>
        <w:rPr>
          <w:rFonts w:ascii="宋体" w:hAnsi="宋体"/>
          <w:b/>
          <w:color w:val="000000"/>
          <w:highlight w:val="none"/>
        </w:rPr>
      </w:pPr>
      <w:r>
        <w:rPr>
          <w:rFonts w:ascii="宋体" w:hAnsi="宋体"/>
          <w:b/>
          <w:color w:val="000000"/>
          <w:highlight w:val="none"/>
        </w:rPr>
      </w:r>
      <w:r/>
    </w:p>
    <w:p>
      <w:pPr>
        <w:pStyle w:val="859"/>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862"/>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85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75"/>
        <w:ind w:firstLine="480"/>
        <w:spacing w:line="460" w:lineRule="exact"/>
        <w:rPr>
          <w:rFonts w:hAnsi="宋体"/>
          <w:color w:val="000000"/>
          <w:highlight w:val="none"/>
        </w:rPr>
      </w:pP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87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875"/>
        <w:ind w:firstLine="480"/>
        <w:spacing w:line="460" w:lineRule="exact"/>
        <w:rPr>
          <w:rFonts w:hAnsi="宋体"/>
          <w:color w:val="000000"/>
          <w:highlight w:val="none"/>
        </w:rPr>
      </w:pP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87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87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875"/>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875"/>
        <w:ind w:firstLine="480"/>
        <w:spacing w:line="460" w:lineRule="exact"/>
        <w:rPr>
          <w:rFonts w:hAnsi="宋体"/>
          <w:color w:val="000000"/>
          <w:highlight w:val="none"/>
        </w:rPr>
      </w:pP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875"/>
        <w:ind w:firstLine="480"/>
        <w:spacing w:line="460" w:lineRule="exact"/>
        <w:rPr>
          <w:rFonts w:hAnsi="宋体"/>
          <w:color w:val="000000"/>
          <w:highlight w:val="none"/>
        </w:rPr>
      </w:pPr>
      <w:r>
        <w:rPr>
          <w:rFonts w:hAnsi="宋体"/>
          <w:color w:val="000000"/>
          <w:highlight w:val="none"/>
        </w:rPr>
      </w:r>
      <w:r/>
    </w:p>
    <w:p>
      <w:pPr>
        <w:pStyle w:val="875"/>
        <w:ind w:firstLine="480"/>
        <w:spacing w:line="460" w:lineRule="exact"/>
        <w:rPr>
          <w:rFonts w:hAnsi="宋体"/>
          <w:color w:val="000000"/>
          <w:highlight w:val="none"/>
        </w:rPr>
      </w:pP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875"/>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875"/>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85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59"/>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85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859"/>
        <w:jc w:val="left"/>
        <w:widowControl/>
        <w:rPr>
          <w:rFonts w:ascii="宋体" w:hAnsi="宋体"/>
          <w:color w:val="000000"/>
          <w:sz w:val="24"/>
          <w:szCs w:val="20"/>
          <w:highlight w:val="none"/>
        </w:rPr>
      </w:pPr>
      <w:r>
        <w:rPr>
          <w:rFonts w:ascii="宋体" w:hAnsi="宋体"/>
          <w:color w:val="000000"/>
          <w:sz w:val="24"/>
          <w:szCs w:val="20"/>
          <w:highlight w:val="none"/>
        </w:rPr>
      </w:r>
      <w:r/>
    </w:p>
    <w:p>
      <w:pPr>
        <w:pStyle w:val="85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859"/>
        <w:jc w:val="left"/>
        <w:widowControl/>
        <w:rPr>
          <w:rFonts w:ascii="宋体" w:hAnsi="宋体"/>
          <w:color w:val="000000"/>
          <w:sz w:val="24"/>
          <w:highlight w:val="none"/>
        </w:rPr>
      </w:pPr>
      <w:r>
        <w:rPr>
          <w:rFonts w:ascii="宋体" w:hAnsi="宋体"/>
          <w:color w:val="000000"/>
          <w:sz w:val="24"/>
          <w:highlight w:val="none"/>
        </w:rPr>
      </w:r>
      <w:r/>
    </w:p>
    <w:p>
      <w:pPr>
        <w:pStyle w:val="859"/>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859"/>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8" w:name="_Toc480942349"/>
      <w:r/>
      <w:bookmarkStart w:id="819" w:name="_Toc226965829"/>
      <w:r/>
      <w:bookmarkStart w:id="820" w:name="_Toc226309800"/>
      <w:r/>
      <w:bookmarkStart w:id="821" w:name="_Toc127151556"/>
      <w:r/>
      <w:bookmarkStart w:id="822" w:name="_Toc226965746"/>
      <w:r/>
      <w:bookmarkStart w:id="823" w:name="_Toc520356217"/>
      <w:r/>
      <w:bookmarkStart w:id="824" w:name="_Toc150774761"/>
      <w:r/>
      <w:bookmarkStart w:id="825" w:name="_Toc195842921"/>
      <w:r/>
      <w:bookmarkStart w:id="826" w:name="_Toc142311058"/>
      <w:r/>
      <w:bookmarkStart w:id="827" w:name="_Toc226337252"/>
      <w:r/>
      <w:bookmarkStart w:id="828" w:name="_Ref467988698"/>
      <w:r/>
      <w:bookmarkStart w:id="829" w:name="_Toc150480794"/>
      <w:r>
        <w:rPr>
          <w:rFonts w:hint="eastAsia" w:ascii="宋体" w:hAnsi="宋体"/>
          <w:b/>
          <w:color w:val="000000"/>
          <w:sz w:val="32"/>
          <w:szCs w:val="32"/>
          <w:highlight w:val="none"/>
        </w:rPr>
      </w:r>
      <w:r/>
    </w:p>
    <w:p>
      <w:pPr>
        <w:pStyle w:val="85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9"/>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85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5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85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5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85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85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5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85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5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（4）如我方中标，我方将在法律规定的期限内与你方签订合同，按照合同约定的期限内完成合同规定的全部义务。</w:t>
      </w:r>
      <w:r>
        <w:rPr>
          <w:rFonts w:ascii="宋体" w:hAnsi="宋体"/>
          <w:color w:val="000000"/>
          <w:sz w:val="24"/>
          <w:highlight w:val="none"/>
        </w:rPr>
      </w:r>
      <w:r/>
    </w:p>
    <w:p>
      <w:pPr>
        <w:pStyle w:val="859"/>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5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59"/>
        <w:jc w:val="left"/>
        <w:widowControl/>
        <w:rPr>
          <w:rFonts w:hint="eastAsia" w:ascii="宋体" w:hAnsi="宋体"/>
          <w:b/>
          <w:color w:val="000000"/>
          <w:sz w:val="24"/>
          <w:highlight w:val="none"/>
        </w:rPr>
      </w:pPr>
      <w:r/>
      <w:bookmarkStart w:id="830" w:name="_Hlt520355938"/>
      <w:r/>
      <w:bookmarkEnd w:id="830"/>
      <w:r/>
      <w:bookmarkStart w:id="831" w:name="_Hlt520356243"/>
      <w:r/>
      <w:bookmarkEnd w:id="831"/>
      <w:r>
        <w:rPr>
          <w:rFonts w:ascii="宋体" w:hAnsi="宋体"/>
          <w:color w:val="000000"/>
          <w:sz w:val="24"/>
          <w:highlight w:val="none"/>
        </w:rPr>
        <w:br w:type="page" w:clear="all"/>
      </w:r>
      <w:r>
        <w:rPr>
          <w:rFonts w:hint="eastAsia" w:ascii="宋体" w:hAnsi="宋体"/>
          <w:b/>
          <w:color w:val="000000"/>
          <w:sz w:val="24"/>
          <w:highlight w:val="none"/>
        </w:rPr>
      </w:r>
      <w:r/>
    </w:p>
    <w:p>
      <w:pPr>
        <w:pStyle w:val="859"/>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ascii="宋体" w:hAnsi="宋体"/>
          <w:color w:val="000000"/>
          <w:sz w:val="24"/>
          <w:highlight w:val="none"/>
        </w:rPr>
      </w:r>
      <w:r/>
    </w:p>
    <w:p>
      <w:pPr>
        <w:pStyle w:val="87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59"/>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85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1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85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85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8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85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03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859"/>
        <w:spacing w:line="400" w:lineRule="exact"/>
        <w:rPr>
          <w:rFonts w:ascii="宋体" w:hAnsi="宋体" w:cs="宋体"/>
          <w:color w:val="000000"/>
          <w:sz w:val="24"/>
          <w:highlight w:val="none"/>
        </w:rPr>
      </w:pPr>
      <w:r>
        <w:rPr>
          <w:rFonts w:ascii="宋体" w:hAnsi="宋体" w:cs="宋体"/>
          <w:color w:val="000000"/>
          <w:sz w:val="24"/>
          <w:highlight w:val="none"/>
        </w:rPr>
      </w:r>
      <w:r/>
    </w:p>
    <w:p>
      <w:pPr>
        <w:pStyle w:val="87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87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8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8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11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9"/>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9"/>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859"/>
        <w:ind w:firstLine="640"/>
        <w:rPr>
          <w:rFonts w:ascii="宋体" w:hAnsi="宋体"/>
          <w:color w:val="000000"/>
          <w:highlight w:val="none"/>
        </w:rPr>
      </w:pPr>
      <w:r>
        <w:rPr>
          <w:rFonts w:ascii="宋体" w:hAnsi="宋体"/>
          <w:color w:val="000000"/>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0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bookmarkStart w:id="832" w:name="_Hlt520343000"/>
      <w:r/>
      <w:bookmarkEnd w:id="832"/>
      <w:r/>
      <w:bookmarkStart w:id="833" w:name="_Hlt520273711"/>
      <w:r/>
      <w:bookmarkEnd w:id="833"/>
      <w:r/>
      <w:bookmarkStart w:id="834" w:name="_Hlt520274393"/>
      <w:r/>
      <w:bookmarkEnd w:id="834"/>
      <w:r/>
      <w:bookmarkStart w:id="835" w:name="_Hlt520355504"/>
      <w:r/>
      <w:bookmarkEnd w:id="835"/>
      <w:r/>
      <w:bookmarkStart w:id="836" w:name="_Hlt520350918"/>
      <w:r/>
      <w:bookmarkEnd w:id="836"/>
      <w:r/>
      <w:bookmarkStart w:id="837" w:name="_Hlt520274121"/>
      <w:r/>
      <w:bookmarkEnd w:id="837"/>
      <w:r/>
      <w:bookmarkStart w:id="838" w:name="_Hlt520274065"/>
      <w:r/>
      <w:bookmarkEnd w:id="838"/>
      <w:r/>
      <w:bookmarkStart w:id="839" w:name="_Hlt520271212"/>
      <w:r/>
      <w:bookmarkEnd w:id="839"/>
      <w:r/>
      <w:bookmarkStart w:id="840" w:name="_Hlt520274407"/>
      <w:r/>
      <w:bookmarkEnd w:id="840"/>
      <w:r/>
      <w:bookmarkStart w:id="841" w:name="_Hlt520343392"/>
      <w:r/>
      <w:bookmarkEnd w:id="841"/>
      <w:r/>
      <w:bookmarkStart w:id="842" w:name="_Toc520356218"/>
      <w:r/>
      <w:bookmarkStart w:id="843" w:name="_Toc195842922"/>
      <w:r/>
      <w:bookmarkStart w:id="844" w:name="_Toc305158899"/>
      <w:r/>
      <w:bookmarkStart w:id="845" w:name="_Toc226965747"/>
      <w:r/>
      <w:bookmarkStart w:id="846" w:name="_Toc305158825"/>
      <w:r/>
      <w:bookmarkStart w:id="847" w:name="_Toc150480795"/>
      <w:r/>
      <w:bookmarkStart w:id="848" w:name="_Toc142311059"/>
      <w:r/>
      <w:bookmarkStart w:id="849" w:name="_Toc226965830"/>
      <w:r/>
      <w:bookmarkStart w:id="850" w:name="_Toc226309801"/>
      <w:r/>
      <w:bookmarkStart w:id="851" w:name="_Toc480942350"/>
      <w:r/>
      <w:bookmarkStart w:id="852" w:name="_Ref467988705"/>
      <w:r/>
      <w:bookmarkStart w:id="853" w:name="_Toc264969247"/>
      <w:r/>
      <w:bookmarkStart w:id="854" w:name="_Toc265228395"/>
      <w:r/>
      <w:bookmarkStart w:id="855" w:name="_Toc127151557"/>
      <w:r/>
      <w:bookmarkStart w:id="856" w:name="_Toc150774762"/>
      <w:r/>
      <w:bookmarkStart w:id="857" w:name="_Toc226337253"/>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9"/>
        <w:jc w:val="center"/>
        <w:spacing w:line="360" w:lineRule="exact"/>
        <w:rPr>
          <w:rFonts w:ascii="宋体" w:hAnsi="宋体"/>
          <w:b/>
          <w:color w:val="000000"/>
          <w:sz w:val="36"/>
          <w:szCs w:val="36"/>
          <w:highlight w:val="none"/>
        </w:rPr>
      </w:pPr>
      <w:r/>
      <w:bookmarkStart w:id="858" w:name="_Toc195842923"/>
      <w:r/>
      <w:bookmarkStart w:id="859" w:name="_Toc226309802"/>
      <w:r/>
      <w:bookmarkStart w:id="860" w:name="_Toc265228396"/>
      <w:r/>
      <w:bookmarkStart w:id="861" w:name="_Toc305158826"/>
      <w:r/>
      <w:bookmarkStart w:id="862" w:name="_Toc226965831"/>
      <w:r/>
      <w:bookmarkStart w:id="863" w:name="_Toc164608672"/>
      <w:r/>
      <w:bookmarkStart w:id="864" w:name="_Toc226965748"/>
      <w:r/>
      <w:bookmarkStart w:id="865" w:name="_Toc305158900"/>
      <w:r/>
      <w:bookmarkStart w:id="866" w:name="_Toc226337254"/>
      <w:r/>
      <w:bookmarkStart w:id="867" w:name="_Toc164608827"/>
      <w:r/>
      <w:bookmarkStart w:id="868" w:name="_Toc264969248"/>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36"/>
          <w:szCs w:val="36"/>
          <w:highlight w:val="none"/>
        </w:rPr>
      </w:r>
      <w:r/>
    </w:p>
    <w:p>
      <w:pPr>
        <w:pStyle w:val="85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5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5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2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22"/>
        <w:gridCol w:w="3987"/>
      </w:tblGrid>
      <w:tr>
        <w:trPr>
          <w:trHeight w:val="1185"/>
        </w:trPr>
        <w:tc>
          <w:tcPr>
            <w:tcW w:w="411" w:type="dxa"/>
            <w:vAlign w:val="center"/>
            <w:textDirection w:val="lrTb"/>
            <w:noWrap w:val="false"/>
          </w:tcPr>
          <w:p>
            <w:pPr>
              <w:pStyle w:val="85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textDirection w:val="lrTb"/>
            <w:noWrap w:val="false"/>
          </w:tcPr>
          <w:p>
            <w:pPr>
              <w:pStyle w:val="85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tcW w:w="2373" w:type="dxa"/>
            <w:vAlign w:val="center"/>
            <w:textDirection w:val="lrTb"/>
            <w:noWrap w:val="false"/>
          </w:tcPr>
          <w:p>
            <w:pPr>
              <w:pStyle w:val="859"/>
              <w:jc w:val="center"/>
              <w:tabs>
                <w:tab w:val="left" w:pos="5580" w:leader="none"/>
              </w:tabs>
              <w:rPr>
                <w:rFonts w:hint="eastAsia" w:ascii="宋体" w:hAnsi="宋体" w:eastAsia="宋体"/>
                <w:b/>
                <w:color w:val="000000"/>
                <w:sz w:val="24"/>
                <w:highlight w:val="none"/>
                <w:lang w:eastAsia="zh-CN"/>
              </w:rPr>
            </w:pPr>
            <w:r>
              <w:rPr>
                <w:rFonts w:ascii="宋体" w:hAnsi="宋体"/>
                <w:b/>
                <w:color w:val="000000"/>
                <w:sz w:val="24"/>
                <w:highlight w:val="none"/>
              </w:rPr>
              <w:t xml:space="preserve">投标</w:t>
            </w:r>
            <w:r>
              <w:rPr>
                <w:rFonts w:hint="eastAsia" w:ascii="宋体" w:hAnsi="宋体"/>
                <w:b/>
                <w:color w:val="000000"/>
                <w:sz w:val="24"/>
                <w:highlight w:val="none"/>
                <w:lang w:val="en-US" w:eastAsia="zh-CN"/>
              </w:rPr>
              <w:t xml:space="preserve">优惠率</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tc>
      </w:tr>
      <w:tr>
        <w:trPr>
          <w:trHeight w:val="976"/>
        </w:trPr>
        <w:tc>
          <w:tcPr>
            <w:tcW w:w="411" w:type="dxa"/>
            <w:vAlign w:val="center"/>
            <w:textDirection w:val="lrTb"/>
            <w:noWrap w:val="false"/>
          </w:tcPr>
          <w:p>
            <w:pPr>
              <w:pStyle w:val="85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85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373" w:type="dxa"/>
            <w:vAlign w:val="center"/>
            <w:textDirection w:val="lrTb"/>
            <w:noWrap w:val="false"/>
          </w:tcPr>
          <w:p>
            <w:pPr>
              <w:pStyle w:val="859"/>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59"/>
        <w:jc w:val="left"/>
        <w:rPr>
          <w:rFonts w:ascii="宋体" w:hAnsi="宋体"/>
          <w:color w:val="000000"/>
          <w:sz w:val="24"/>
          <w:highlight w:val="none"/>
        </w:rPr>
      </w:pPr>
      <w:r>
        <w:rPr>
          <w:rFonts w:ascii="宋体" w:hAnsi="宋体"/>
          <w:color w:val="000000"/>
          <w:sz w:val="24"/>
          <w:highlight w:val="none"/>
        </w:rPr>
      </w:r>
      <w:r/>
    </w:p>
    <w:p>
      <w:pPr>
        <w:pStyle w:val="859"/>
        <w:ind w:firstLine="480"/>
        <w:tabs>
          <w:tab w:val="left" w:pos="5580" w:leader="none"/>
        </w:tabs>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.本表必须按包分别填写。</w:t>
      </w:r>
      <w:r>
        <w:rPr>
          <w:rFonts w:ascii="宋体" w:hAnsi="宋体"/>
          <w:color w:val="000000"/>
          <w:sz w:val="24"/>
          <w:szCs w:val="20"/>
          <w:highlight w:val="none"/>
        </w:rPr>
      </w:r>
      <w:r/>
    </w:p>
    <w:p>
      <w:pPr>
        <w:pStyle w:val="859"/>
        <w:ind w:firstLine="482"/>
        <w:tabs>
          <w:tab w:val="left" w:pos="5580" w:leader="none"/>
        </w:tabs>
        <w:rPr>
          <w:rFonts w:ascii="宋体" w:hAnsi="宋体" w:eastAsia="宋体"/>
          <w:color w:val="000000"/>
          <w:sz w:val="24"/>
          <w:szCs w:val="20"/>
          <w:highlight w:val="none"/>
          <w:lang w:val="en-US" w:eastAsia="zh-CN"/>
        </w:rPr>
      </w:pPr>
      <w:r>
        <w:rPr>
          <w:rFonts w:hint="eastAsia" w:ascii="宋体" w:hAnsi="宋体"/>
          <w:b/>
          <w:bCs/>
          <w:color w:val="000000"/>
          <w:sz w:val="24"/>
          <w:szCs w:val="20"/>
          <w:highlight w:val="none"/>
          <w:lang w:val="en-US" w:eastAsia="zh-CN"/>
        </w:rPr>
        <w:t xml:space="preserve">2.结算原则：按照（1-中标优惠率）*《常州地区公立医院基本医疗服务项目价格汇总表》三级收费标准进行支付。</w:t>
      </w:r>
      <w:r>
        <w:rPr>
          <w:rFonts w:ascii="宋体" w:hAnsi="宋体" w:eastAsia="宋体"/>
          <w:color w:val="000000"/>
          <w:sz w:val="24"/>
          <w:szCs w:val="20"/>
          <w:highlight w:val="none"/>
          <w:lang w:val="en-US" w:eastAsia="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bookmarkStart w:id="869" w:name="_Toc150480796"/>
      <w:r/>
      <w:bookmarkStart w:id="870" w:name="_Toc226965749"/>
      <w:r/>
      <w:bookmarkStart w:id="871" w:name="_Toc264969249"/>
      <w:r/>
      <w:bookmarkStart w:id="872" w:name="_Toc305158827"/>
      <w:r/>
      <w:bookmarkStart w:id="873" w:name="_Toc195842924"/>
      <w:r/>
      <w:bookmarkStart w:id="874" w:name="_Toc226337255"/>
      <w:r/>
      <w:bookmarkStart w:id="875" w:name="_Toc127151558"/>
      <w:r/>
      <w:bookmarkStart w:id="876" w:name="_Toc226965832"/>
      <w:r/>
      <w:bookmarkStart w:id="877" w:name="_Toc305158901"/>
      <w:r/>
      <w:bookmarkStart w:id="878" w:name="_Toc226309803"/>
      <w:r/>
      <w:bookmarkStart w:id="879" w:name="_Toc150774763"/>
      <w:r/>
      <w:bookmarkStart w:id="880" w:name="_Toc265228397"/>
      <w:r/>
      <w:bookmarkStart w:id="881" w:name="_Toc142311060"/>
      <w:r>
        <w:rPr>
          <w:rFonts w:ascii="宋体" w:hAnsi="宋体"/>
          <w:color w:val="000000"/>
          <w:sz w:val="24"/>
          <w:szCs w:val="20"/>
          <w:highlight w:val="none"/>
        </w:rPr>
        <w:br w:type="page" w:clear="all"/>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Start w:id="882" w:name="_Toc150480798"/>
      <w:r/>
      <w:bookmarkStart w:id="883" w:name="_Toc264969252"/>
      <w:r/>
      <w:bookmarkStart w:id="884" w:name="_Toc305158904"/>
      <w:r/>
      <w:bookmarkStart w:id="885" w:name="_Toc150774765"/>
      <w:r/>
      <w:bookmarkStart w:id="886" w:name="_Toc226965752"/>
      <w:r/>
      <w:bookmarkStart w:id="887" w:name="_Toc305158830"/>
      <w:r/>
      <w:bookmarkStart w:id="888" w:name="_Toc127151562"/>
      <w:r/>
      <w:bookmarkStart w:id="889" w:name="_Toc195842927"/>
      <w:r/>
      <w:bookmarkStart w:id="890" w:name="_Toc142311062"/>
      <w:r/>
      <w:bookmarkStart w:id="891" w:name="_Toc265228400"/>
      <w:r/>
      <w:bookmarkStart w:id="892" w:name="_Toc226337258"/>
      <w:r/>
      <w:bookmarkStart w:id="893" w:name="_Toc226309806"/>
      <w:r/>
      <w:bookmarkStart w:id="894" w:name="_Toc226965835"/>
      <w:r/>
      <w:bookmarkStart w:id="895" w:name="_Toc305158903"/>
      <w:r/>
      <w:bookmarkStart w:id="896" w:name="_Toc150774764"/>
      <w:r/>
      <w:bookmarkStart w:id="897" w:name="_Toc150480797"/>
      <w:r/>
      <w:bookmarkStart w:id="898" w:name="_Toc226965751"/>
      <w:r/>
      <w:bookmarkStart w:id="899" w:name="_Toc195842926"/>
      <w:r/>
      <w:bookmarkStart w:id="900" w:name="_Toc305158829"/>
      <w:r/>
      <w:bookmarkStart w:id="901" w:name="_Toc226309805"/>
      <w:r/>
      <w:bookmarkStart w:id="902" w:name="_Toc142311061"/>
      <w:r/>
      <w:bookmarkStart w:id="903" w:name="_Toc265228399"/>
      <w:r/>
      <w:bookmarkStart w:id="904" w:name="_Toc264969251"/>
      <w:r/>
      <w:bookmarkStart w:id="905" w:name="_Toc127151561"/>
      <w:r/>
      <w:bookmarkStart w:id="906" w:name="_Toc226965834"/>
      <w:r/>
      <w:bookmarkStart w:id="907" w:name="_Toc226337257"/>
      <w:r>
        <w:rPr>
          <w:rFonts w:hint="eastAsia" w:ascii="宋体" w:hAnsi="宋体"/>
          <w:b/>
          <w:color w:val="000000"/>
          <w:sz w:val="24"/>
          <w:highlight w:val="none"/>
          <w:lang w:val="en-US" w:eastAsia="zh-CN"/>
        </w:rPr>
        <w:t xml:space="preserve">6</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9"/>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5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5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5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5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bl>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lang w:val="en-US" w:eastAsia="zh-CN"/>
        </w:rPr>
        <w:t xml:space="preserve">7</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85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85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bl>
    <w:p>
      <w:pPr>
        <w:pStyle w:val="85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9"/>
        <w:rPr>
          <w:rFonts w:ascii="宋体" w:hAnsi="宋体"/>
          <w:color w:val="000000"/>
          <w:sz w:val="24"/>
          <w:szCs w:val="20"/>
          <w:highlight w:val="none"/>
        </w:rPr>
      </w:pPr>
      <w:r>
        <w:rPr>
          <w:rFonts w:ascii="宋体" w:hAnsi="宋体"/>
          <w:color w:val="000000"/>
          <w:sz w:val="24"/>
          <w:szCs w:val="20"/>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lang w:val="en-US" w:eastAsia="zh-CN"/>
        </w:rPr>
        <w:t xml:space="preserve">8</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85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5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5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5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5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5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3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9"/>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59"/>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59"/>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859"/>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859"/>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859"/>
        <w:numPr>
          <w:ilvl w:val="0"/>
          <w:numId w:val="16"/>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9"/>
        <w:numPr>
          <w:ilvl w:val="0"/>
          <w:numId w:val="16"/>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9"/>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859"/>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859"/>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859"/>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9"/>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9"/>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859"/>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859"/>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85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5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85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5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5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859"/>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85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lang w:val="en-US" w:eastAsia="zh-CN"/>
        </w:rPr>
        <w:t xml:space="preserve">9</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85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85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0</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85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59"/>
        <w:spacing w:line="360" w:lineRule="auto"/>
        <w:rPr>
          <w:rFonts w:ascii="宋体" w:hAnsi="宋体"/>
          <w:color w:val="000000"/>
          <w:sz w:val="22"/>
          <w:highlight w:val="none"/>
        </w:rPr>
      </w:pPr>
      <w:r>
        <w:rPr>
          <w:rFonts w:ascii="宋体" w:hAnsi="宋体"/>
          <w:color w:val="000000"/>
          <w:sz w:val="22"/>
          <w:highlight w:val="none"/>
        </w:rPr>
      </w:r>
      <w:r/>
    </w:p>
    <w:p>
      <w:pPr>
        <w:pStyle w:val="8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5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5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859"/>
        <w:spacing w:line="360" w:lineRule="auto"/>
        <w:rPr>
          <w:rFonts w:ascii="宋体" w:hAnsi="宋体"/>
          <w:color w:val="000000"/>
          <w:sz w:val="24"/>
          <w:highlight w:val="none"/>
        </w:rPr>
      </w:pPr>
      <w:r>
        <w:rPr>
          <w:rFonts w:ascii="宋体" w:hAnsi="宋体"/>
          <w:color w:val="000000"/>
          <w:sz w:val="24"/>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397"/>
      <w:r/>
      <w:bookmarkStart w:id="909" w:name="_Toc288738839"/>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859"/>
        <w:rPr>
          <w:rFonts w:ascii="宋体" w:hAnsi="宋体"/>
          <w:color w:val="000000"/>
          <w:sz w:val="24"/>
          <w:szCs w:val="20"/>
          <w:highlight w:val="none"/>
        </w:rPr>
      </w:pPr>
      <w:r>
        <w:rPr>
          <w:rFonts w:ascii="宋体" w:hAnsi="宋体"/>
          <w:color w:val="000000"/>
          <w:sz w:val="24"/>
          <w:szCs w:val="20"/>
          <w:highlight w:val="none"/>
        </w:rPr>
      </w:r>
      <w:r/>
    </w:p>
    <w:p>
      <w:pPr>
        <w:pStyle w:val="85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85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5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59"/>
        <w:spacing w:line="360" w:lineRule="auto"/>
        <w:rPr>
          <w:rFonts w:ascii="宋体" w:hAnsi="宋体" w:cs="宋体"/>
          <w:color w:val="000000"/>
          <w:sz w:val="24"/>
          <w:highlight w:val="none"/>
        </w:rPr>
      </w:pPr>
      <w:r>
        <w:rPr>
          <w:rFonts w:ascii="宋体" w:hAnsi="宋体" w:cs="宋体"/>
          <w:color w:val="000000"/>
          <w:sz w:val="24"/>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jc w:val="both"/>
        <w:spacing w:line="360" w:lineRule="auto"/>
        <w:rPr>
          <w:rFonts w:ascii="宋体" w:hAnsi="宋体"/>
          <w:b/>
          <w:color w:val="000000"/>
          <w:sz w:val="24"/>
          <w:szCs w:val="20"/>
          <w:highlight w:val="none"/>
        </w:rPr>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85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9"/>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9"/>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9"/>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9"/>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859"/>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right="360"/>
      <w:tabs>
        <w:tab w:val="center" w:pos="4153" w:leader="none"/>
        <w:tab w:val="right" w:pos="8306" w:leader="none"/>
      </w:tabs>
      <w:rPr>
        <w:rStyle w:val="932"/>
      </w:rPr>
      <w:framePr w:wrap="around" w:vAnchor="text" w:hAnchor="margin" w:y="1"/>
    </w:pPr>
    <w:r>
      <w:rPr>
        <w:rStyle w:val="932"/>
      </w:rPr>
    </w:r>
    <w:r/>
  </w:p>
  <w:p>
    <w:pPr>
      <w:pStyle w:val="90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2"/>
      </w:rPr>
      <w:framePr w:wrap="around" w:vAnchor="text" w:hAnchor="margin" w:xAlign="center" w:y="1"/>
    </w:pPr>
    <w:r>
      <w:fldChar w:fldCharType="begin"/>
    </w:r>
    <w:r>
      <w:rPr>
        <w:rStyle w:val="932"/>
      </w:rPr>
      <w:instrText xml:space="preserve">PAGE  </w:instrText>
    </w:r>
    <w:r>
      <w:fldChar w:fldCharType="end"/>
    </w:r>
    <w:r>
      <w:rPr>
        <w:rStyle w:val="932"/>
      </w:rPr>
    </w:r>
    <w:r/>
  </w:p>
  <w:p>
    <w:pPr>
      <w:pStyle w:val="90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2"/>
      </w:rPr>
      <w:framePr w:wrap="around" w:vAnchor="text" w:hAnchor="margin" w:xAlign="right" w:y="1"/>
    </w:pPr>
    <w:r>
      <w:rPr>
        <w:rStyle w:val="932"/>
      </w:rPr>
    </w:r>
    <w:r/>
  </w:p>
  <w:p>
    <w:pPr>
      <w:pStyle w:val="907"/>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2"/>
      </w:rPr>
      <w:framePr w:wrap="around" w:vAnchor="text" w:hAnchor="margin" w:xAlign="right" w:y="1"/>
    </w:pPr>
    <w:r>
      <w:rPr>
        <w:rStyle w:val="932"/>
      </w:rPr>
      <w:fldChar w:fldCharType="begin"/>
    </w:r>
    <w:r>
      <w:rPr>
        <w:rStyle w:val="932"/>
      </w:rPr>
      <w:instrText xml:space="preserve">PAGE  </w:instrText>
    </w:r>
    <w:r>
      <w:rPr>
        <w:rStyle w:val="932"/>
      </w:rPr>
      <w:fldChar w:fldCharType="end"/>
    </w:r>
    <w:r>
      <w:rPr>
        <w:rStyle w:val="932"/>
      </w:rPr>
    </w:r>
    <w:r/>
  </w:p>
  <w:p>
    <w:pPr>
      <w:pStyle w:val="90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2"/>
      </w:rPr>
      <w:framePr w:wrap="around" w:vAnchor="text" w:hAnchor="margin" w:xAlign="right" w:y="1"/>
    </w:pPr>
    <w:r>
      <w:rPr>
        <w:rStyle w:val="932"/>
      </w:rPr>
      <w:fldChar w:fldCharType="begin"/>
    </w:r>
    <w:r>
      <w:rPr>
        <w:rStyle w:val="932"/>
      </w:rPr>
      <w:instrText xml:space="preserve">PAGE  </w:instrText>
    </w:r>
    <w:r>
      <w:rPr>
        <w:rStyle w:val="932"/>
      </w:rPr>
      <w:fldChar w:fldCharType="end"/>
    </w:r>
    <w:r>
      <w:rPr>
        <w:rStyle w:val="932"/>
      </w:rPr>
    </w:r>
    <w:r/>
  </w:p>
  <w:p>
    <w:pPr>
      <w:pStyle w:val="907"/>
      <w:ind w:right="360"/>
      <w:tabs>
        <w:tab w:val="center" w:pos="4153" w:leader="none"/>
        <w:tab w:val="right" w:pos="8306" w:leader="none"/>
      </w:tabs>
    </w:pPr>
    <w:r/>
    <w:r/>
  </w:p>
  <w:p>
    <w:pPr>
      <w:pStyle w:val="85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pPr>
    <w:r/>
    <w:r/>
  </w:p>
  <w:p>
    <w:pPr>
      <w:pStyle w:val="85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5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59"/>
        <w:ind w:left="4941" w:hanging="1140"/>
        <w:tabs>
          <w:tab w:val="num" w:pos="4941" w:leader="none"/>
        </w:tabs>
      </w:pPr>
      <w:rPr>
        <w:rFonts w:hint="eastAsia"/>
      </w:rPr>
    </w:lvl>
    <w:lvl w:ilvl="1">
      <w:start w:val="1"/>
      <w:numFmt w:val="lowerLetter"/>
      <w:isLgl w:val="false"/>
      <w:suff w:val="tab"/>
      <w:lvlText w:val="%2)"/>
      <w:lvlJc w:val="left"/>
      <w:pPr>
        <w:pStyle w:val="859"/>
        <w:ind w:left="4641" w:hanging="420"/>
        <w:tabs>
          <w:tab w:val="num" w:pos="4641" w:leader="none"/>
        </w:tabs>
      </w:pPr>
    </w:lvl>
    <w:lvl w:ilvl="2">
      <w:start w:val="1"/>
      <w:numFmt w:val="lowerRoman"/>
      <w:isLgl w:val="false"/>
      <w:suff w:val="tab"/>
      <w:lvlText w:val="%3."/>
      <w:lvlJc w:val="right"/>
      <w:pPr>
        <w:pStyle w:val="859"/>
        <w:ind w:left="5061" w:hanging="420"/>
        <w:tabs>
          <w:tab w:val="num" w:pos="5061" w:leader="none"/>
        </w:tabs>
      </w:pPr>
    </w:lvl>
    <w:lvl w:ilvl="3">
      <w:start w:val="1"/>
      <w:numFmt w:val="decimal"/>
      <w:isLgl w:val="false"/>
      <w:suff w:val="tab"/>
      <w:lvlText w:val="%4."/>
      <w:lvlJc w:val="left"/>
      <w:pPr>
        <w:pStyle w:val="859"/>
        <w:ind w:left="5481" w:hanging="420"/>
        <w:tabs>
          <w:tab w:val="num" w:pos="5481" w:leader="none"/>
        </w:tabs>
      </w:pPr>
    </w:lvl>
    <w:lvl w:ilvl="4">
      <w:start w:val="1"/>
      <w:numFmt w:val="lowerLetter"/>
      <w:isLgl w:val="false"/>
      <w:suff w:val="tab"/>
      <w:lvlText w:val="%5)"/>
      <w:lvlJc w:val="left"/>
      <w:pPr>
        <w:pStyle w:val="859"/>
        <w:ind w:left="5901" w:hanging="420"/>
        <w:tabs>
          <w:tab w:val="num" w:pos="5901" w:leader="none"/>
        </w:tabs>
      </w:pPr>
    </w:lvl>
    <w:lvl w:ilvl="5">
      <w:start w:val="1"/>
      <w:numFmt w:val="lowerRoman"/>
      <w:isLgl w:val="false"/>
      <w:suff w:val="tab"/>
      <w:lvlText w:val="%6."/>
      <w:lvlJc w:val="right"/>
      <w:pPr>
        <w:pStyle w:val="859"/>
        <w:ind w:left="6321" w:hanging="420"/>
        <w:tabs>
          <w:tab w:val="num" w:pos="6321" w:leader="none"/>
        </w:tabs>
      </w:pPr>
    </w:lvl>
    <w:lvl w:ilvl="6">
      <w:start w:val="1"/>
      <w:numFmt w:val="decimal"/>
      <w:isLgl w:val="false"/>
      <w:suff w:val="tab"/>
      <w:lvlText w:val="%7."/>
      <w:lvlJc w:val="left"/>
      <w:pPr>
        <w:pStyle w:val="859"/>
        <w:ind w:left="6741" w:hanging="420"/>
        <w:tabs>
          <w:tab w:val="num" w:pos="6741" w:leader="none"/>
        </w:tabs>
      </w:pPr>
    </w:lvl>
    <w:lvl w:ilvl="7">
      <w:start w:val="1"/>
      <w:numFmt w:val="lowerLetter"/>
      <w:isLgl w:val="false"/>
      <w:suff w:val="tab"/>
      <w:lvlText w:val="%8)"/>
      <w:lvlJc w:val="left"/>
      <w:pPr>
        <w:pStyle w:val="859"/>
        <w:ind w:left="7161" w:hanging="420"/>
        <w:tabs>
          <w:tab w:val="num" w:pos="7161" w:leader="none"/>
        </w:tabs>
      </w:pPr>
    </w:lvl>
    <w:lvl w:ilvl="8">
      <w:start w:val="1"/>
      <w:numFmt w:val="lowerRoman"/>
      <w:isLgl w:val="false"/>
      <w:suff w:val="tab"/>
      <w:lvlText w:val="%9."/>
      <w:lvlJc w:val="right"/>
      <w:pPr>
        <w:pStyle w:val="859"/>
        <w:ind w:left="7581" w:hanging="420"/>
        <w:tabs>
          <w:tab w:val="num" w:pos="7581" w:leader="none"/>
        </w:tabs>
      </w:pPr>
    </w:lvl>
  </w:abstractNum>
  <w:abstractNum w:abstractNumId="3">
    <w:multiLevelType w:val="hybridMultilevel"/>
    <w:lvl w:ilvl="0">
      <w:start w:val="1"/>
      <w:numFmt w:val="decimal"/>
      <w:pStyle w:val="968"/>
      <w:isLgl w:val="false"/>
      <w:suff w:val="tab"/>
      <w:lvlText w:val="%1."/>
      <w:lvlJc w:val="left"/>
      <w:pPr>
        <w:pStyle w:val="859"/>
        <w:ind w:left="420" w:hanging="420"/>
      </w:pPr>
    </w:lvl>
    <w:lvl w:ilvl="1">
      <w:start w:val="1"/>
      <w:numFmt w:val="decimal"/>
      <w:isLgl w:val="false"/>
      <w:suff w:val="tab"/>
      <w:lvlText w:val="（%2）"/>
      <w:lvlJc w:val="left"/>
      <w:pPr>
        <w:pStyle w:val="859"/>
        <w:ind w:left="1140" w:hanging="720"/>
        <w:tabs>
          <w:tab w:val="num" w:pos="1140" w:leader="none"/>
        </w:tabs>
      </w:pPr>
      <w:rPr>
        <w:rFonts w:hint="eastAsia"/>
      </w:r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4">
    <w:multiLevelType w:val="hybridMultilevel"/>
    <w:lvl w:ilvl="0">
      <w:start w:val="1"/>
      <w:numFmt w:val="lowerLetter"/>
      <w:pStyle w:val="1043"/>
      <w:isLgl w:val="false"/>
      <w:suff w:val="tab"/>
      <w:lvlText w:val="%1)"/>
      <w:lvlJc w:val="left"/>
      <w:pPr>
        <w:pStyle w:val="859"/>
        <w:ind w:left="902" w:hanging="420"/>
      </w:pPr>
      <w:rPr>
        <w:color w:val="000000"/>
      </w:rPr>
    </w:lvl>
    <w:lvl w:ilvl="1">
      <w:start w:val="1"/>
      <w:numFmt w:val="lowerLetter"/>
      <w:isLgl w:val="false"/>
      <w:suff w:val="tab"/>
      <w:lvlText w:val="%2)"/>
      <w:lvlJc w:val="left"/>
      <w:pPr>
        <w:pStyle w:val="859"/>
        <w:ind w:left="1322" w:hanging="420"/>
      </w:pPr>
    </w:lvl>
    <w:lvl w:ilvl="2">
      <w:start w:val="1"/>
      <w:numFmt w:val="lowerRoman"/>
      <w:isLgl w:val="false"/>
      <w:suff w:val="tab"/>
      <w:lvlText w:val="%3."/>
      <w:lvlJc w:val="right"/>
      <w:pPr>
        <w:pStyle w:val="859"/>
        <w:ind w:left="1742" w:hanging="420"/>
      </w:pPr>
    </w:lvl>
    <w:lvl w:ilvl="3">
      <w:start w:val="1"/>
      <w:numFmt w:val="decimal"/>
      <w:isLgl w:val="false"/>
      <w:suff w:val="tab"/>
      <w:lvlText w:val="%4."/>
      <w:lvlJc w:val="left"/>
      <w:pPr>
        <w:pStyle w:val="859"/>
        <w:ind w:left="2162" w:hanging="420"/>
      </w:pPr>
    </w:lvl>
    <w:lvl w:ilvl="4">
      <w:start w:val="1"/>
      <w:numFmt w:val="lowerLetter"/>
      <w:isLgl w:val="false"/>
      <w:suff w:val="tab"/>
      <w:lvlText w:val="%5)"/>
      <w:lvlJc w:val="left"/>
      <w:pPr>
        <w:pStyle w:val="859"/>
        <w:ind w:left="2582" w:hanging="420"/>
      </w:pPr>
    </w:lvl>
    <w:lvl w:ilvl="5">
      <w:start w:val="1"/>
      <w:numFmt w:val="lowerRoman"/>
      <w:isLgl w:val="false"/>
      <w:suff w:val="tab"/>
      <w:lvlText w:val="%6."/>
      <w:lvlJc w:val="right"/>
      <w:pPr>
        <w:pStyle w:val="859"/>
        <w:ind w:left="3002" w:hanging="420"/>
      </w:pPr>
    </w:lvl>
    <w:lvl w:ilvl="6">
      <w:start w:val="1"/>
      <w:numFmt w:val="decimal"/>
      <w:isLgl w:val="false"/>
      <w:suff w:val="tab"/>
      <w:lvlText w:val="%7."/>
      <w:lvlJc w:val="left"/>
      <w:pPr>
        <w:pStyle w:val="859"/>
        <w:ind w:left="3422" w:hanging="420"/>
      </w:pPr>
    </w:lvl>
    <w:lvl w:ilvl="7">
      <w:start w:val="1"/>
      <w:numFmt w:val="lowerLetter"/>
      <w:isLgl w:val="false"/>
      <w:suff w:val="tab"/>
      <w:lvlText w:val="%8)"/>
      <w:lvlJc w:val="left"/>
      <w:pPr>
        <w:pStyle w:val="859"/>
        <w:ind w:left="3842" w:hanging="420"/>
      </w:pPr>
    </w:lvl>
    <w:lvl w:ilvl="8">
      <w:start w:val="1"/>
      <w:numFmt w:val="lowerRoman"/>
      <w:isLgl w:val="false"/>
      <w:suff w:val="tab"/>
      <w:lvlText w:val="%9."/>
      <w:lvlJc w:val="right"/>
      <w:pPr>
        <w:pStyle w:val="859"/>
        <w:ind w:left="4262" w:hanging="420"/>
      </w:pPr>
    </w:lvl>
  </w:abstractNum>
  <w:abstractNum w:abstractNumId="5">
    <w:multiLevelType w:val="hybridMultilevel"/>
    <w:lvl w:ilvl="0">
      <w:start w:val="1"/>
      <w:numFmt w:val="decimal"/>
      <w:pStyle w:val="1013"/>
      <w:isLgl w:val="false"/>
      <w:suff w:val="tab"/>
      <w:lvlText w:val="%1."/>
      <w:lvlJc w:val="left"/>
      <w:pPr>
        <w:pStyle w:val="85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2"/>
      <w:isLgl w:val="false"/>
      <w:suff w:val="nothing"/>
      <w:lvlText w:val="%1　"/>
      <w:lvlJc w:val="left"/>
      <w:pPr>
        <w:pStyle w:val="85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9"/>
        <w:ind w:left="-25" w:firstLine="0"/>
      </w:pPr>
      <w:rPr>
        <w:rFonts w:ascii="Times New Roman" w:hAnsi="Times New Roman" w:eastAsia="黑体"/>
        <w:b/>
        <w:i w:val="0"/>
        <w:sz w:val="28"/>
      </w:rPr>
    </w:lvl>
    <w:lvl w:ilvl="3">
      <w:start w:val="1"/>
      <w:numFmt w:val="decimal"/>
      <w:pStyle w:val="998"/>
      <w:isLgl w:val="false"/>
      <w:suff w:val="nothing"/>
      <w:lvlText w:val="%1.%2.%3.%4　"/>
      <w:lvlJc w:val="left"/>
      <w:pPr>
        <w:pStyle w:val="85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9"/>
        <w:ind w:left="-25" w:firstLine="0"/>
      </w:pPr>
      <w:rPr>
        <w:rFonts w:ascii="Times New Roman" w:hAnsi="Times New Roman" w:eastAsia="宋体"/>
        <w:b/>
        <w:i w:val="0"/>
        <w:sz w:val="28"/>
      </w:rPr>
    </w:lvl>
    <w:lvl w:ilvl="6">
      <w:start w:val="1"/>
      <w:numFmt w:val="lowerLetter"/>
      <w:pStyle w:val="1019"/>
      <w:isLgl w:val="false"/>
      <w:suff w:val="tab"/>
      <w:lvlText w:val="%7) "/>
      <w:lvlJc w:val="left"/>
      <w:pPr>
        <w:pStyle w:val="859"/>
        <w:ind w:left="-125" w:firstLine="400"/>
        <w:tabs>
          <w:tab w:val="num" w:pos="635" w:leader="none"/>
        </w:tabs>
      </w:pPr>
      <w:rPr>
        <w:rFonts w:ascii="Times New Roman" w:hAnsi="Times New Roman" w:eastAsia="宋体"/>
        <w:b/>
        <w:i w:val="0"/>
        <w:color w:val="000000"/>
        <w:sz w:val="28"/>
        <w:u w:val="none"/>
      </w:rPr>
    </w:lvl>
    <w:lvl w:ilvl="7">
      <w:start w:val="1"/>
      <w:numFmt w:val="decimal"/>
      <w:pStyle w:val="982"/>
      <w:isLgl w:val="false"/>
      <w:suff w:val="tab"/>
      <w:lvlText w:val="%8) "/>
      <w:lvlJc w:val="left"/>
      <w:pPr>
        <w:pStyle w:val="85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9"/>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59"/>
        <w:ind w:left="768" w:hanging="360"/>
        <w:tabs>
          <w:tab w:val="num" w:pos="768" w:leader="none"/>
        </w:tabs>
      </w:pPr>
      <w:rPr>
        <w:rFonts w:hint="eastAsia"/>
      </w:rPr>
    </w:lvl>
    <w:lvl w:ilvl="1">
      <w:start w:val="1"/>
      <w:numFmt w:val="decimal"/>
      <w:pStyle w:val="1000"/>
      <w:isLgl w:val="false"/>
      <w:suff w:val="tab"/>
      <w:lvlText w:val="%2、"/>
      <w:lvlJc w:val="left"/>
      <w:pPr>
        <w:pStyle w:val="859"/>
        <w:ind w:left="1188" w:hanging="360"/>
        <w:tabs>
          <w:tab w:val="num" w:pos="1188" w:leader="none"/>
        </w:tabs>
      </w:pPr>
      <w:rPr>
        <w:rFonts w:hint="eastAsia"/>
      </w:rPr>
    </w:lvl>
    <w:lvl w:ilvl="2">
      <w:start w:val="1"/>
      <w:numFmt w:val="decimal"/>
      <w:isLgl w:val="false"/>
      <w:suff w:val="tab"/>
      <w:lvlText w:val="（%3）"/>
      <w:lvlJc w:val="left"/>
      <w:pPr>
        <w:pStyle w:val="859"/>
        <w:ind w:left="1968" w:hanging="720"/>
        <w:tabs>
          <w:tab w:val="num" w:pos="1968" w:leader="none"/>
        </w:tabs>
      </w:pPr>
      <w:rPr>
        <w:rFonts w:hint="eastAsia"/>
        <w:u w:val="none"/>
      </w:rPr>
    </w:lvl>
    <w:lvl w:ilvl="3">
      <w:start w:val="1"/>
      <w:numFmt w:val="decimal"/>
      <w:isLgl w:val="false"/>
      <w:suff w:val="tab"/>
      <w:lvlText w:val="%4."/>
      <w:lvlJc w:val="left"/>
      <w:pPr>
        <w:pStyle w:val="859"/>
        <w:ind w:left="2088" w:hanging="420"/>
        <w:tabs>
          <w:tab w:val="num" w:pos="2088" w:leader="none"/>
        </w:tabs>
      </w:pPr>
    </w:lvl>
    <w:lvl w:ilvl="4">
      <w:start w:val="1"/>
      <w:numFmt w:val="lowerLetter"/>
      <w:isLgl w:val="false"/>
      <w:suff w:val="tab"/>
      <w:lvlText w:val="%5)"/>
      <w:lvlJc w:val="left"/>
      <w:pPr>
        <w:pStyle w:val="859"/>
        <w:ind w:left="2508" w:hanging="420"/>
        <w:tabs>
          <w:tab w:val="num" w:pos="2508" w:leader="none"/>
        </w:tabs>
      </w:pPr>
    </w:lvl>
    <w:lvl w:ilvl="5">
      <w:start w:val="1"/>
      <w:numFmt w:val="lowerRoman"/>
      <w:isLgl w:val="false"/>
      <w:suff w:val="tab"/>
      <w:lvlText w:val="%6."/>
      <w:lvlJc w:val="right"/>
      <w:pPr>
        <w:pStyle w:val="859"/>
        <w:ind w:left="2928" w:hanging="420"/>
        <w:tabs>
          <w:tab w:val="num" w:pos="2928" w:leader="none"/>
        </w:tabs>
      </w:pPr>
    </w:lvl>
    <w:lvl w:ilvl="6">
      <w:start w:val="1"/>
      <w:numFmt w:val="decimal"/>
      <w:isLgl w:val="false"/>
      <w:suff w:val="tab"/>
      <w:lvlText w:val="%7."/>
      <w:lvlJc w:val="left"/>
      <w:pPr>
        <w:pStyle w:val="859"/>
        <w:ind w:left="3348" w:hanging="420"/>
        <w:tabs>
          <w:tab w:val="num" w:pos="3348" w:leader="none"/>
        </w:tabs>
      </w:pPr>
    </w:lvl>
    <w:lvl w:ilvl="7">
      <w:start w:val="1"/>
      <w:numFmt w:val="lowerLetter"/>
      <w:isLgl w:val="false"/>
      <w:suff w:val="tab"/>
      <w:lvlText w:val="%8)"/>
      <w:lvlJc w:val="left"/>
      <w:pPr>
        <w:pStyle w:val="859"/>
        <w:ind w:left="3768" w:hanging="420"/>
        <w:tabs>
          <w:tab w:val="num" w:pos="3768" w:leader="none"/>
        </w:tabs>
      </w:pPr>
    </w:lvl>
    <w:lvl w:ilvl="8">
      <w:start w:val="1"/>
      <w:numFmt w:val="lowerRoman"/>
      <w:isLgl w:val="false"/>
      <w:suff w:val="tab"/>
      <w:lvlText w:val="%9."/>
      <w:lvlJc w:val="right"/>
      <w:pPr>
        <w:pStyle w:val="859"/>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859"/>
        <w:ind w:left="900" w:hanging="900"/>
        <w:tabs>
          <w:tab w:val="num" w:pos="900" w:leader="none"/>
        </w:tabs>
      </w:pPr>
      <w:rPr>
        <w:rFonts w:hint="eastAsia"/>
        <w:b/>
      </w:rPr>
    </w:lvl>
    <w:lvl w:ilvl="1">
      <w:start w:val="1"/>
      <w:numFmt w:val="decimal"/>
      <w:isLgl w:val="false"/>
      <w:suff w:val="tab"/>
      <w:lvlText w:val="%1.%2"/>
      <w:lvlJc w:val="left"/>
      <w:pPr>
        <w:pStyle w:val="85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9"/>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9">
    <w:multiLevelType w:val="hybridMultilevel"/>
    <w:lvl w:ilvl="0">
      <w:start w:val="1"/>
      <w:numFmt w:val="decimal"/>
      <w:pStyle w:val="967"/>
      <w:isLgl w:val="false"/>
      <w:suff w:val="tab"/>
      <w:lvlText w:val="%1)"/>
      <w:lvlJc w:val="left"/>
      <w:pPr>
        <w:pStyle w:val="859"/>
        <w:ind w:left="420" w:hanging="420"/>
      </w:pPr>
    </w:lvl>
    <w:lvl w:ilvl="1">
      <w:start w:val="1"/>
      <w:numFmt w:val="lowerLetter"/>
      <w:isLgl w:val="false"/>
      <w:suff w:val="tab"/>
      <w:lvlText w:val="%2)"/>
      <w:lvlJc w:val="left"/>
      <w:pPr>
        <w:pStyle w:val="859"/>
        <w:ind w:left="840" w:hanging="420"/>
      </w:p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10">
    <w:multiLevelType w:val="hybridMultilevel"/>
    <w:lvl w:ilvl="0">
      <w:start w:val="1"/>
      <w:numFmt w:val="decimal"/>
      <w:isLgl w:val="false"/>
      <w:suff w:val="tab"/>
      <w:lvlText w:val="%1."/>
      <w:lvlJc w:val="left"/>
      <w:pPr>
        <w:pStyle w:val="859"/>
        <w:ind w:left="1242" w:hanging="382"/>
      </w:pPr>
      <w:rPr>
        <w:rFonts w:ascii="仿宋" w:hAnsi="仿宋" w:eastAsia="仿宋" w:cs="仿宋"/>
        <w:spacing w:val="0"/>
        <w:sz w:val="32"/>
        <w:szCs w:val="32"/>
      </w:rPr>
    </w:lvl>
    <w:lvl w:ilvl="1">
      <w:start w:val="0"/>
      <w:numFmt w:val="bullet"/>
      <w:isLgl w:val="false"/>
      <w:suff w:val="tab"/>
      <w:lvlText w:val="•"/>
      <w:lvlJc w:val="left"/>
      <w:pPr>
        <w:pStyle w:val="859"/>
        <w:ind w:left="2010" w:hanging="382"/>
      </w:pPr>
    </w:lvl>
    <w:lvl w:ilvl="2">
      <w:start w:val="0"/>
      <w:numFmt w:val="bullet"/>
      <w:isLgl w:val="false"/>
      <w:suff w:val="tab"/>
      <w:lvlText w:val="•"/>
      <w:lvlJc w:val="left"/>
      <w:pPr>
        <w:pStyle w:val="859"/>
        <w:ind w:left="2781" w:hanging="382"/>
      </w:pPr>
    </w:lvl>
    <w:lvl w:ilvl="3">
      <w:start w:val="0"/>
      <w:numFmt w:val="bullet"/>
      <w:isLgl w:val="false"/>
      <w:suff w:val="tab"/>
      <w:lvlText w:val="•"/>
      <w:lvlJc w:val="left"/>
      <w:pPr>
        <w:pStyle w:val="859"/>
        <w:ind w:left="3551" w:hanging="382"/>
      </w:pPr>
    </w:lvl>
    <w:lvl w:ilvl="4">
      <w:start w:val="0"/>
      <w:numFmt w:val="bullet"/>
      <w:isLgl w:val="false"/>
      <w:suff w:val="tab"/>
      <w:lvlText w:val="•"/>
      <w:lvlJc w:val="left"/>
      <w:pPr>
        <w:pStyle w:val="859"/>
        <w:ind w:left="4322" w:hanging="382"/>
      </w:pPr>
    </w:lvl>
    <w:lvl w:ilvl="5">
      <w:start w:val="0"/>
      <w:numFmt w:val="bullet"/>
      <w:isLgl w:val="false"/>
      <w:suff w:val="tab"/>
      <w:lvlText w:val="•"/>
      <w:lvlJc w:val="left"/>
      <w:pPr>
        <w:pStyle w:val="859"/>
        <w:ind w:left="5093" w:hanging="382"/>
      </w:pPr>
    </w:lvl>
    <w:lvl w:ilvl="6">
      <w:start w:val="0"/>
      <w:numFmt w:val="bullet"/>
      <w:isLgl w:val="false"/>
      <w:suff w:val="tab"/>
      <w:lvlText w:val="•"/>
      <w:lvlJc w:val="left"/>
      <w:pPr>
        <w:pStyle w:val="859"/>
        <w:ind w:left="5863" w:hanging="382"/>
      </w:pPr>
    </w:lvl>
    <w:lvl w:ilvl="7">
      <w:start w:val="0"/>
      <w:numFmt w:val="bullet"/>
      <w:isLgl w:val="false"/>
      <w:suff w:val="tab"/>
      <w:lvlText w:val="•"/>
      <w:lvlJc w:val="left"/>
      <w:pPr>
        <w:pStyle w:val="859"/>
        <w:ind w:left="6634" w:hanging="382"/>
      </w:pPr>
    </w:lvl>
    <w:lvl w:ilvl="8">
      <w:start w:val="0"/>
      <w:numFmt w:val="bullet"/>
      <w:isLgl w:val="false"/>
      <w:suff w:val="tab"/>
      <w:lvlText w:val="•"/>
      <w:lvlJc w:val="left"/>
      <w:pPr>
        <w:pStyle w:val="859"/>
        <w:ind w:left="7404" w:hanging="382"/>
      </w:pPr>
    </w:lvl>
  </w:abstractNum>
  <w:abstractNum w:abstractNumId="11">
    <w:multiLevelType w:val="hybridMultilevel"/>
    <w:lvl w:ilvl="0">
      <w:start w:val="1"/>
      <w:numFmt w:val="decimal"/>
      <w:pStyle w:val="1068"/>
      <w:isLgl w:val="false"/>
      <w:suff w:val="tab"/>
      <w:lvlText w:val="%1"/>
      <w:lvlJc w:val="left"/>
      <w:pPr>
        <w:pStyle w:val="859"/>
        <w:ind w:left="680" w:hanging="680"/>
      </w:pPr>
      <w:rPr>
        <w:rFonts w:hint="eastAsia" w:ascii="宋体" w:hAnsi="宋体" w:eastAsia="宋体"/>
      </w:rPr>
    </w:lvl>
    <w:lvl w:ilvl="1">
      <w:start w:val="1"/>
      <w:numFmt w:val="decimal"/>
      <w:pStyle w:val="1069"/>
      <w:isLgl w:val="false"/>
      <w:suff w:val="tab"/>
      <w:lvlText w:val="%1.%2"/>
      <w:lvlJc w:val="left"/>
      <w:pPr>
        <w:pStyle w:val="859"/>
        <w:ind w:left="851" w:hanging="851"/>
      </w:pPr>
      <w:rPr>
        <w:rFonts w:hint="eastAsia" w:ascii="宋体" w:hAnsi="宋体" w:eastAsia="宋体"/>
        <w:color w:val="000000"/>
      </w:rPr>
    </w:lvl>
    <w:lvl w:ilvl="2">
      <w:start w:val="1"/>
      <w:numFmt w:val="decimal"/>
      <w:pStyle w:val="1070"/>
      <w:isLgl w:val="false"/>
      <w:suff w:val="tab"/>
      <w:lvlText w:val="%1.%2.%3"/>
      <w:lvlJc w:val="left"/>
      <w:pPr>
        <w:pStyle w:val="859"/>
        <w:ind w:left="851" w:hanging="851"/>
      </w:pPr>
      <w:rPr>
        <w:rFonts w:hint="eastAsia"/>
      </w:rPr>
    </w:lvl>
    <w:lvl w:ilvl="3">
      <w:start w:val="1"/>
      <w:numFmt w:val="decimal"/>
      <w:isLgl w:val="false"/>
      <w:suff w:val="tab"/>
      <w:lvlText w:val="%1.%2.%3.%4"/>
      <w:lvlJc w:val="left"/>
      <w:pPr>
        <w:pStyle w:val="859"/>
        <w:ind w:left="680" w:hanging="680"/>
      </w:pPr>
      <w:rPr>
        <w:rFonts w:hint="eastAsia"/>
      </w:rPr>
    </w:lvl>
    <w:lvl w:ilvl="4">
      <w:start w:val="1"/>
      <w:numFmt w:val="decimal"/>
      <w:isLgl w:val="false"/>
      <w:suff w:val="tab"/>
      <w:lvlText w:val="%1.%2.%3.%4.%5"/>
      <w:lvlJc w:val="left"/>
      <w:pPr>
        <w:pStyle w:val="859"/>
        <w:ind w:left="680" w:hanging="680"/>
      </w:pPr>
      <w:rPr>
        <w:rFonts w:hint="eastAsia"/>
      </w:rPr>
    </w:lvl>
    <w:lvl w:ilvl="5">
      <w:start w:val="1"/>
      <w:numFmt w:val="decimal"/>
      <w:isLgl w:val="false"/>
      <w:suff w:val="tab"/>
      <w:lvlText w:val="%1.%2.%3.%4.%5.%6"/>
      <w:lvlJc w:val="left"/>
      <w:pPr>
        <w:pStyle w:val="859"/>
        <w:ind w:left="680" w:hanging="680"/>
      </w:pPr>
      <w:rPr>
        <w:rFonts w:hint="eastAsia"/>
      </w:rPr>
    </w:lvl>
    <w:lvl w:ilvl="6">
      <w:start w:val="1"/>
      <w:numFmt w:val="decimal"/>
      <w:isLgl w:val="false"/>
      <w:suff w:val="tab"/>
      <w:lvlText w:val="%1.%2.%3.%4.%5.%6.%7"/>
      <w:lvlJc w:val="left"/>
      <w:pPr>
        <w:pStyle w:val="859"/>
        <w:ind w:left="680" w:hanging="680"/>
      </w:pPr>
      <w:rPr>
        <w:rFonts w:hint="eastAsia"/>
      </w:rPr>
    </w:lvl>
    <w:lvl w:ilvl="7">
      <w:start w:val="1"/>
      <w:numFmt w:val="decimal"/>
      <w:isLgl w:val="false"/>
      <w:suff w:val="tab"/>
      <w:lvlText w:val="%1.%2.%3.%4.%5.%6.%7.%8"/>
      <w:lvlJc w:val="left"/>
      <w:pPr>
        <w:pStyle w:val="859"/>
        <w:ind w:left="680" w:hanging="680"/>
      </w:pPr>
      <w:rPr>
        <w:rFonts w:hint="eastAsia"/>
      </w:rPr>
    </w:lvl>
    <w:lvl w:ilvl="8">
      <w:start w:val="1"/>
      <w:numFmt w:val="decimal"/>
      <w:isLgl w:val="false"/>
      <w:suff w:val="tab"/>
      <w:lvlText w:val="%1.%2.%3.%4.%5.%6.%7.%8.%9"/>
      <w:lvlJc w:val="left"/>
      <w:pPr>
        <w:pStyle w:val="859"/>
        <w:ind w:left="680" w:hanging="680"/>
      </w:pPr>
      <w:rPr>
        <w:rFonts w:hint="eastAsia"/>
      </w:rPr>
    </w:lvl>
  </w:abstractNum>
  <w:abstractNum w:abstractNumId="12">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8"/>
  </w:num>
  <w:num w:numId="9">
    <w:abstractNumId w:val="13"/>
  </w:num>
  <w:num w:numId="10">
    <w:abstractNumId w:val="2"/>
  </w:num>
  <w:num w:numId="11">
    <w:abstractNumId w:val="14"/>
  </w:num>
  <w:num w:numId="12">
    <w:abstractNumId w:val="12"/>
  </w:num>
  <w:num w:numId="13">
    <w:abstractNumId w:val="15"/>
  </w:num>
  <w:num w:numId="14">
    <w:abstractNumId w:val="0"/>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9"/>
    <w:next w:val="8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9"/>
    <w:next w:val="8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9"/>
    <w:next w:val="8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9"/>
    <w:next w:val="8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9"/>
    <w:next w:val="8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9"/>
    <w:next w:val="8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9"/>
    <w:next w:val="8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9"/>
    <w:next w:val="8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9"/>
    <w:next w:val="8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9"/>
    <w:next w:val="8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9"/>
    <w:next w:val="8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9"/>
    <w:next w:val="859"/>
    <w:link w:val="38"/>
    <w:uiPriority w:val="29"/>
    <w:qFormat/>
    <w:pPr>
      <w:ind w:left="720" w:right="720"/>
    </w:pPr>
    <w:rPr>
      <w:i/>
    </w:rPr>
  </w:style>
  <w:style w:type="character" w:styleId="38">
    <w:name w:val="Quote Char"/>
    <w:link w:val="37"/>
    <w:uiPriority w:val="29"/>
    <w:rPr>
      <w:i/>
    </w:rPr>
  </w:style>
  <w:style w:type="paragraph" w:styleId="39">
    <w:name w:val="Intense Quote"/>
    <w:basedOn w:val="859"/>
    <w:next w:val="8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9"/>
    <w:next w:val="8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9"/>
    <w:next w:val="859"/>
    <w:uiPriority w:val="39"/>
    <w:unhideWhenUsed/>
    <w:pPr>
      <w:ind w:left="0" w:right="0" w:firstLine="0"/>
      <w:spacing w:after="57"/>
    </w:pPr>
  </w:style>
  <w:style w:type="paragraph" w:styleId="181">
    <w:name w:val="toc 2"/>
    <w:basedOn w:val="859"/>
    <w:next w:val="859"/>
    <w:uiPriority w:val="39"/>
    <w:unhideWhenUsed/>
    <w:pPr>
      <w:ind w:left="283" w:right="0" w:firstLine="0"/>
      <w:spacing w:after="57"/>
    </w:pPr>
  </w:style>
  <w:style w:type="paragraph" w:styleId="182">
    <w:name w:val="toc 3"/>
    <w:basedOn w:val="859"/>
    <w:next w:val="859"/>
    <w:uiPriority w:val="39"/>
    <w:unhideWhenUsed/>
    <w:pPr>
      <w:ind w:left="567" w:right="0" w:firstLine="0"/>
      <w:spacing w:after="57"/>
    </w:pPr>
  </w:style>
  <w:style w:type="paragraph" w:styleId="183">
    <w:name w:val="toc 4"/>
    <w:basedOn w:val="859"/>
    <w:next w:val="859"/>
    <w:uiPriority w:val="39"/>
    <w:unhideWhenUsed/>
    <w:pPr>
      <w:ind w:left="850" w:right="0" w:firstLine="0"/>
      <w:spacing w:after="57"/>
    </w:pPr>
  </w:style>
  <w:style w:type="paragraph" w:styleId="184">
    <w:name w:val="toc 5"/>
    <w:basedOn w:val="859"/>
    <w:next w:val="859"/>
    <w:uiPriority w:val="39"/>
    <w:unhideWhenUsed/>
    <w:pPr>
      <w:ind w:left="1134" w:right="0" w:firstLine="0"/>
      <w:spacing w:after="57"/>
    </w:pPr>
  </w:style>
  <w:style w:type="paragraph" w:styleId="185">
    <w:name w:val="toc 6"/>
    <w:basedOn w:val="859"/>
    <w:next w:val="859"/>
    <w:uiPriority w:val="39"/>
    <w:unhideWhenUsed/>
    <w:pPr>
      <w:ind w:left="1417" w:right="0" w:firstLine="0"/>
      <w:spacing w:after="57"/>
    </w:pPr>
  </w:style>
  <w:style w:type="paragraph" w:styleId="186">
    <w:name w:val="toc 7"/>
    <w:basedOn w:val="859"/>
    <w:next w:val="859"/>
    <w:uiPriority w:val="39"/>
    <w:unhideWhenUsed/>
    <w:pPr>
      <w:ind w:left="1701" w:right="0" w:firstLine="0"/>
      <w:spacing w:after="57"/>
    </w:pPr>
  </w:style>
  <w:style w:type="paragraph" w:styleId="187">
    <w:name w:val="toc 8"/>
    <w:basedOn w:val="859"/>
    <w:next w:val="859"/>
    <w:uiPriority w:val="39"/>
    <w:unhideWhenUsed/>
    <w:pPr>
      <w:ind w:left="1984" w:right="0" w:firstLine="0"/>
      <w:spacing w:after="57"/>
    </w:pPr>
  </w:style>
  <w:style w:type="paragraph" w:styleId="188">
    <w:name w:val="toc 9"/>
    <w:basedOn w:val="859"/>
    <w:next w:val="8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9"/>
    <w:next w:val="859"/>
    <w:uiPriority w:val="99"/>
    <w:unhideWhenUsed/>
    <w:pPr>
      <w:spacing w:after="0" w:afterAutospacing="0"/>
    </w:pPr>
  </w:style>
  <w:style w:type="paragraph" w:styleId="859" w:default="1">
    <w:name w:val="Normal"/>
    <w:next w:val="871"/>
    <w:link w:val="859"/>
    <w:qFormat/>
    <w:pPr>
      <w:jc w:val="both"/>
      <w:widowControl w:val="off"/>
    </w:pPr>
    <w:rPr>
      <w:sz w:val="21"/>
      <w:szCs w:val="24"/>
      <w:lang w:val="en-US" w:eastAsia="zh-CN" w:bidi="ar-SA"/>
    </w:rPr>
  </w:style>
  <w:style w:type="paragraph" w:styleId="860">
    <w:name w:val="标题 1"/>
    <w:basedOn w:val="859"/>
    <w:next w:val="859"/>
    <w:link w:val="873"/>
    <w:qFormat/>
    <w:pPr>
      <w:jc w:val="center"/>
      <w:keepLines/>
      <w:keepNext/>
      <w:spacing w:before="240" w:after="120" w:line="300" w:lineRule="auto"/>
      <w:outlineLvl w:val="0"/>
    </w:pPr>
    <w:rPr>
      <w:rFonts w:ascii="宋体"/>
      <w:b/>
      <w:sz w:val="32"/>
      <w:szCs w:val="20"/>
    </w:rPr>
  </w:style>
  <w:style w:type="paragraph" w:styleId="861">
    <w:name w:val="标题 2"/>
    <w:basedOn w:val="859"/>
    <w:next w:val="875"/>
    <w:link w:val="874"/>
    <w:qFormat/>
    <w:pPr>
      <w:jc w:val="center"/>
      <w:keepLines/>
      <w:keepNext/>
      <w:spacing w:before="120" w:line="300" w:lineRule="auto"/>
      <w:outlineLvl w:val="1"/>
    </w:pPr>
    <w:rPr>
      <w:rFonts w:ascii="Arial" w:hAnsi="Arial" w:eastAsia="黑体"/>
      <w:b/>
      <w:sz w:val="30"/>
      <w:szCs w:val="20"/>
    </w:rPr>
  </w:style>
  <w:style w:type="paragraph" w:styleId="862">
    <w:name w:val="标题 3"/>
    <w:basedOn w:val="859"/>
    <w:next w:val="875"/>
    <w:link w:val="877"/>
    <w:qFormat/>
    <w:pPr>
      <w:jc w:val="left"/>
      <w:keepLines/>
      <w:keepNext/>
      <w:spacing w:before="360" w:after="120"/>
      <w:outlineLvl w:val="2"/>
    </w:pPr>
    <w:rPr>
      <w:rFonts w:ascii="宋体"/>
      <w:b/>
      <w:sz w:val="24"/>
      <w:szCs w:val="20"/>
      <w:u w:val="single"/>
    </w:rPr>
  </w:style>
  <w:style w:type="paragraph" w:styleId="863">
    <w:name w:val="标题 4"/>
    <w:basedOn w:val="859"/>
    <w:next w:val="859"/>
    <w:link w:val="878"/>
    <w:qFormat/>
    <w:pPr>
      <w:keepLines/>
      <w:keepNext/>
      <w:spacing w:before="280" w:after="290" w:line="376" w:lineRule="atLeast"/>
      <w:outlineLvl w:val="3"/>
    </w:pPr>
    <w:rPr>
      <w:rFonts w:ascii="Arial" w:hAnsi="Arial" w:eastAsia="黑体"/>
      <w:b/>
      <w:sz w:val="28"/>
      <w:szCs w:val="20"/>
    </w:rPr>
  </w:style>
  <w:style w:type="paragraph" w:styleId="864">
    <w:name w:val="标题 5"/>
    <w:basedOn w:val="859"/>
    <w:next w:val="859"/>
    <w:link w:val="879"/>
    <w:qFormat/>
    <w:pPr>
      <w:keepLines/>
      <w:keepNext/>
      <w:spacing w:before="280" w:after="290" w:line="376" w:lineRule="atLeast"/>
      <w:outlineLvl w:val="4"/>
    </w:pPr>
    <w:rPr>
      <w:b/>
      <w:sz w:val="28"/>
      <w:szCs w:val="20"/>
    </w:rPr>
  </w:style>
  <w:style w:type="paragraph" w:styleId="865">
    <w:name w:val="标题 6"/>
    <w:basedOn w:val="859"/>
    <w:next w:val="859"/>
    <w:link w:val="880"/>
    <w:qFormat/>
    <w:pPr>
      <w:keepLines/>
      <w:keepNext/>
      <w:spacing w:before="240" w:after="64" w:line="320" w:lineRule="atLeast"/>
      <w:outlineLvl w:val="5"/>
    </w:pPr>
    <w:rPr>
      <w:rFonts w:ascii="Arial" w:hAnsi="Arial" w:eastAsia="黑体"/>
      <w:b/>
      <w:sz w:val="24"/>
      <w:szCs w:val="20"/>
    </w:rPr>
  </w:style>
  <w:style w:type="paragraph" w:styleId="866">
    <w:name w:val="标题 7"/>
    <w:basedOn w:val="859"/>
    <w:next w:val="859"/>
    <w:link w:val="881"/>
    <w:qFormat/>
    <w:pPr>
      <w:keepLines/>
      <w:keepNext/>
      <w:spacing w:before="240" w:after="64" w:line="320" w:lineRule="atLeast"/>
      <w:outlineLvl w:val="6"/>
    </w:pPr>
    <w:rPr>
      <w:b/>
      <w:sz w:val="24"/>
      <w:szCs w:val="20"/>
    </w:rPr>
  </w:style>
  <w:style w:type="paragraph" w:styleId="867">
    <w:name w:val="标题 8"/>
    <w:basedOn w:val="859"/>
    <w:next w:val="859"/>
    <w:link w:val="882"/>
    <w:qFormat/>
    <w:pPr>
      <w:keepLines/>
      <w:keepNext/>
      <w:spacing w:before="240" w:after="64" w:line="320" w:lineRule="atLeast"/>
      <w:outlineLvl w:val="7"/>
    </w:pPr>
    <w:rPr>
      <w:rFonts w:ascii="Arial" w:hAnsi="Arial" w:eastAsia="黑体"/>
      <w:sz w:val="24"/>
      <w:szCs w:val="20"/>
    </w:rPr>
  </w:style>
  <w:style w:type="paragraph" w:styleId="868">
    <w:name w:val="标题 9"/>
    <w:basedOn w:val="859"/>
    <w:next w:val="859"/>
    <w:link w:val="883"/>
    <w:qFormat/>
    <w:pPr>
      <w:keepLines/>
      <w:keepNext/>
      <w:spacing w:before="240" w:after="64" w:line="320" w:lineRule="atLeast"/>
      <w:outlineLvl w:val="8"/>
    </w:pPr>
    <w:rPr>
      <w:rFonts w:ascii="Arial" w:hAnsi="Arial" w:eastAsia="黑体"/>
      <w:szCs w:val="20"/>
    </w:rPr>
  </w:style>
  <w:style w:type="character" w:styleId="869">
    <w:name w:val="默认段落字体"/>
    <w:next w:val="869"/>
    <w:link w:val="859"/>
    <w:uiPriority w:val="1"/>
    <w:unhideWhenUsed/>
    <w:qFormat/>
  </w:style>
  <w:style w:type="table" w:styleId="870">
    <w:name w:val="普通表格"/>
    <w:next w:val="870"/>
    <w:link w:val="859"/>
    <w:uiPriority w:val="99"/>
    <w:unhideWhenUsed/>
    <w:qFormat/>
    <w:tblPr/>
  </w:style>
  <w:style w:type="paragraph" w:styleId="871">
    <w:name w:val="正文文本"/>
    <w:basedOn w:val="859"/>
    <w:next w:val="871"/>
    <w:link w:val="872"/>
    <w:qFormat/>
    <w:pPr>
      <w:spacing w:before="120" w:line="22" w:lineRule="atLeast"/>
      <w:tabs>
        <w:tab w:val="left" w:pos="567" w:leader="none"/>
      </w:tabs>
    </w:pPr>
    <w:rPr>
      <w:rFonts w:ascii="宋体" w:hAnsi="宋体"/>
      <w:sz w:val="24"/>
    </w:rPr>
  </w:style>
  <w:style w:type="character" w:styleId="872">
    <w:name w:val="正文文本 Char"/>
    <w:next w:val="872"/>
    <w:link w:val="871"/>
    <w:qFormat/>
    <w:rPr>
      <w:rFonts w:ascii="宋体" w:hAnsi="宋体"/>
      <w:sz w:val="24"/>
      <w:szCs w:val="24"/>
    </w:rPr>
  </w:style>
  <w:style w:type="character" w:styleId="873">
    <w:name w:val="标题 1 Char"/>
    <w:next w:val="873"/>
    <w:link w:val="860"/>
    <w:qFormat/>
    <w:rPr>
      <w:rFonts w:ascii="宋体"/>
      <w:b/>
      <w:sz w:val="32"/>
    </w:rPr>
  </w:style>
  <w:style w:type="character" w:styleId="874">
    <w:name w:val="标题 2 Char1"/>
    <w:next w:val="874"/>
    <w:link w:val="861"/>
    <w:qFormat/>
    <w:rPr>
      <w:rFonts w:ascii="Arial" w:hAnsi="Arial" w:eastAsia="黑体"/>
      <w:b/>
      <w:sz w:val="30"/>
      <w:lang w:val="en-US" w:eastAsia="zh-CN" w:bidi="ar-SA"/>
    </w:rPr>
  </w:style>
  <w:style w:type="paragraph" w:styleId="875">
    <w:name w:val="正文缩进"/>
    <w:basedOn w:val="859"/>
    <w:next w:val="875"/>
    <w:link w:val="876"/>
    <w:uiPriority w:val="99"/>
    <w:qFormat/>
    <w:pPr>
      <w:ind w:firstLine="420"/>
      <w:jc w:val="left"/>
    </w:pPr>
    <w:rPr>
      <w:rFonts w:ascii="宋体"/>
      <w:sz w:val="24"/>
    </w:rPr>
  </w:style>
  <w:style w:type="character" w:styleId="876">
    <w:name w:val="正文缩进 Char1"/>
    <w:next w:val="876"/>
    <w:link w:val="875"/>
    <w:qFormat/>
    <w:rPr>
      <w:rFonts w:ascii="宋体" w:eastAsia="宋体"/>
      <w:sz w:val="24"/>
      <w:szCs w:val="24"/>
      <w:lang w:val="en-US" w:eastAsia="zh-CN" w:bidi="ar-SA"/>
    </w:rPr>
  </w:style>
  <w:style w:type="character" w:styleId="877">
    <w:name w:val="标题 3 Char1"/>
    <w:next w:val="877"/>
    <w:link w:val="862"/>
    <w:qFormat/>
    <w:rPr>
      <w:rFonts w:ascii="宋体" w:eastAsia="宋体"/>
      <w:b/>
      <w:sz w:val="24"/>
      <w:u w:val="single"/>
      <w:lang w:val="en-US" w:eastAsia="zh-CN" w:bidi="ar-SA"/>
    </w:rPr>
  </w:style>
  <w:style w:type="character" w:styleId="878">
    <w:name w:val="标题 4 Char"/>
    <w:next w:val="878"/>
    <w:link w:val="863"/>
    <w:qFormat/>
    <w:rPr>
      <w:rFonts w:ascii="Arial" w:hAnsi="Arial" w:eastAsia="黑体"/>
      <w:b/>
      <w:sz w:val="28"/>
    </w:rPr>
  </w:style>
  <w:style w:type="character" w:styleId="879">
    <w:name w:val="标题 5 Char"/>
    <w:next w:val="879"/>
    <w:link w:val="864"/>
    <w:qFormat/>
    <w:rPr>
      <w:b/>
      <w:sz w:val="28"/>
    </w:rPr>
  </w:style>
  <w:style w:type="character" w:styleId="880">
    <w:name w:val="标题 6 Char"/>
    <w:next w:val="880"/>
    <w:link w:val="865"/>
    <w:qFormat/>
    <w:rPr>
      <w:rFonts w:ascii="Arial" w:hAnsi="Arial" w:eastAsia="黑体"/>
      <w:b/>
      <w:sz w:val="24"/>
    </w:rPr>
  </w:style>
  <w:style w:type="character" w:styleId="881">
    <w:name w:val="标题 7 Char"/>
    <w:next w:val="881"/>
    <w:link w:val="866"/>
    <w:qFormat/>
    <w:rPr>
      <w:b/>
      <w:sz w:val="24"/>
    </w:rPr>
  </w:style>
  <w:style w:type="character" w:styleId="882">
    <w:name w:val="标题 8 Char"/>
    <w:next w:val="882"/>
    <w:link w:val="867"/>
    <w:qFormat/>
    <w:rPr>
      <w:rFonts w:ascii="Arial" w:hAnsi="Arial" w:eastAsia="黑体"/>
      <w:sz w:val="24"/>
    </w:rPr>
  </w:style>
  <w:style w:type="character" w:styleId="883">
    <w:name w:val="标题 9 Char"/>
    <w:next w:val="883"/>
    <w:link w:val="868"/>
    <w:qFormat/>
    <w:rPr>
      <w:rFonts w:ascii="Arial" w:hAnsi="Arial" w:eastAsia="黑体"/>
      <w:sz w:val="21"/>
    </w:rPr>
  </w:style>
  <w:style w:type="paragraph" w:styleId="884">
    <w:name w:val="目录 7"/>
    <w:basedOn w:val="859"/>
    <w:next w:val="859"/>
    <w:link w:val="859"/>
    <w:qFormat/>
    <w:pPr>
      <w:ind w:left="2520"/>
    </w:pPr>
  </w:style>
  <w:style w:type="paragraph" w:styleId="885">
    <w:name w:val="题注"/>
    <w:basedOn w:val="859"/>
    <w:next w:val="859"/>
    <w:link w:val="859"/>
    <w:qFormat/>
    <w:pPr>
      <w:spacing w:line="480" w:lineRule="auto"/>
    </w:pPr>
    <w:rPr>
      <w:rFonts w:ascii="华文中宋" w:hAnsi="华文中宋" w:eastAsia="华文中宋"/>
      <w:sz w:val="36"/>
      <w:szCs w:val="20"/>
    </w:rPr>
  </w:style>
  <w:style w:type="paragraph" w:styleId="886">
    <w:name w:val="文档结构图"/>
    <w:basedOn w:val="859"/>
    <w:next w:val="886"/>
    <w:link w:val="887"/>
    <w:qFormat/>
    <w:pPr>
      <w:shd w:val="clear" w:color="auto" w:fill="000080"/>
    </w:pPr>
  </w:style>
  <w:style w:type="character" w:styleId="887">
    <w:name w:val="文档结构图 Char"/>
    <w:next w:val="887"/>
    <w:link w:val="886"/>
    <w:qFormat/>
    <w:rPr>
      <w:sz w:val="21"/>
      <w:szCs w:val="24"/>
      <w:shd w:val="clear" w:color="auto" w:fill="000080"/>
    </w:rPr>
  </w:style>
  <w:style w:type="paragraph" w:styleId="888">
    <w:name w:val="批注文字"/>
    <w:basedOn w:val="859"/>
    <w:next w:val="888"/>
    <w:link w:val="889"/>
    <w:uiPriority w:val="99"/>
    <w:qFormat/>
    <w:pPr>
      <w:jc w:val="left"/>
    </w:pPr>
  </w:style>
  <w:style w:type="character" w:styleId="889">
    <w:name w:val="批注文字 Char1"/>
    <w:next w:val="889"/>
    <w:link w:val="888"/>
    <w:uiPriority w:val="99"/>
    <w:qFormat/>
    <w:rPr>
      <w:sz w:val="21"/>
      <w:szCs w:val="24"/>
    </w:rPr>
  </w:style>
  <w:style w:type="paragraph" w:styleId="890">
    <w:name w:val="正文文本 3"/>
    <w:basedOn w:val="859"/>
    <w:next w:val="890"/>
    <w:link w:val="891"/>
    <w:qFormat/>
    <w:pPr>
      <w:spacing w:after="120"/>
    </w:pPr>
    <w:rPr>
      <w:sz w:val="16"/>
      <w:szCs w:val="16"/>
    </w:rPr>
  </w:style>
  <w:style w:type="character" w:styleId="891">
    <w:name w:val="正文文本 3 Char"/>
    <w:next w:val="891"/>
    <w:link w:val="890"/>
    <w:qFormat/>
    <w:rPr>
      <w:sz w:val="16"/>
      <w:szCs w:val="16"/>
    </w:rPr>
  </w:style>
  <w:style w:type="paragraph" w:styleId="892">
    <w:name w:val="正文文本缩进"/>
    <w:basedOn w:val="859"/>
    <w:next w:val="892"/>
    <w:link w:val="893"/>
    <w:qFormat/>
    <w:pPr>
      <w:ind w:firstLine="570"/>
      <w:spacing w:line="360" w:lineRule="auto"/>
    </w:pPr>
    <w:rPr>
      <w:sz w:val="24"/>
    </w:rPr>
  </w:style>
  <w:style w:type="character" w:styleId="893">
    <w:name w:val="正文文本缩进 Char2"/>
    <w:next w:val="893"/>
    <w:link w:val="892"/>
    <w:qFormat/>
    <w:rPr>
      <w:rFonts w:eastAsia="宋体"/>
      <w:sz w:val="24"/>
      <w:szCs w:val="24"/>
      <w:lang w:val="en-US" w:eastAsia="zh-CN" w:bidi="ar-SA"/>
    </w:rPr>
  </w:style>
  <w:style w:type="paragraph" w:styleId="894">
    <w:name w:val="列表 2"/>
    <w:basedOn w:val="859"/>
    <w:next w:val="894"/>
    <w:link w:val="859"/>
    <w:qFormat/>
    <w:pPr>
      <w:ind w:left="100" w:hanging="200"/>
    </w:pPr>
  </w:style>
  <w:style w:type="paragraph" w:styleId="895">
    <w:name w:val="文本块"/>
    <w:basedOn w:val="859"/>
    <w:next w:val="895"/>
    <w:link w:val="859"/>
    <w:qFormat/>
    <w:pPr>
      <w:ind w:left="480" w:right="-341" w:firstLine="513"/>
      <w:widowControl/>
    </w:pPr>
    <w:rPr>
      <w:sz w:val="24"/>
      <w:szCs w:val="20"/>
    </w:rPr>
  </w:style>
  <w:style w:type="paragraph" w:styleId="896">
    <w:name w:val="目录 5"/>
    <w:basedOn w:val="859"/>
    <w:next w:val="859"/>
    <w:link w:val="859"/>
    <w:qFormat/>
    <w:pPr>
      <w:ind w:left="1680"/>
    </w:pPr>
  </w:style>
  <w:style w:type="paragraph" w:styleId="897">
    <w:name w:val="目录 3"/>
    <w:basedOn w:val="859"/>
    <w:next w:val="859"/>
    <w:link w:val="859"/>
    <w:uiPriority w:val="39"/>
    <w:qFormat/>
    <w:pPr>
      <w:ind w:left="840"/>
    </w:pPr>
  </w:style>
  <w:style w:type="paragraph" w:styleId="898">
    <w:name w:val="纯文本"/>
    <w:basedOn w:val="859"/>
    <w:next w:val="898"/>
    <w:link w:val="899"/>
    <w:uiPriority w:val="99"/>
    <w:qFormat/>
    <w:rPr>
      <w:rFonts w:hint="eastAsia" w:ascii="宋体" w:hAnsi="Courier New"/>
      <w:szCs w:val="20"/>
    </w:rPr>
  </w:style>
  <w:style w:type="character" w:styleId="899">
    <w:name w:val="纯文本 Char"/>
    <w:next w:val="899"/>
    <w:link w:val="898"/>
    <w:qFormat/>
    <w:rPr>
      <w:rFonts w:hint="eastAsia" w:ascii="宋体" w:hAnsi="Courier New" w:eastAsia="宋体" w:cs="宋体"/>
      <w:sz w:val="21"/>
    </w:rPr>
  </w:style>
  <w:style w:type="paragraph" w:styleId="900">
    <w:name w:val="目录 8"/>
    <w:basedOn w:val="859"/>
    <w:next w:val="859"/>
    <w:link w:val="859"/>
    <w:qFormat/>
    <w:pPr>
      <w:ind w:left="2940"/>
    </w:pPr>
  </w:style>
  <w:style w:type="paragraph" w:styleId="901">
    <w:name w:val="日期"/>
    <w:basedOn w:val="859"/>
    <w:next w:val="859"/>
    <w:link w:val="902"/>
    <w:qFormat/>
    <w:pPr>
      <w:ind w:left="100"/>
    </w:pPr>
    <w:rPr>
      <w:rFonts w:ascii="仿宋_GB2312" w:hAnsi="宋体" w:eastAsia="仿宋_GB2312"/>
      <w:color w:val="000000"/>
      <w:sz w:val="24"/>
    </w:rPr>
  </w:style>
  <w:style w:type="character" w:styleId="902">
    <w:name w:val="日期 Char"/>
    <w:next w:val="902"/>
    <w:link w:val="901"/>
    <w:qFormat/>
    <w:rPr>
      <w:rFonts w:ascii="仿宋_GB2312" w:hAnsi="宋体" w:eastAsia="仿宋_GB2312"/>
      <w:color w:val="000000"/>
      <w:sz w:val="24"/>
      <w:szCs w:val="24"/>
    </w:rPr>
  </w:style>
  <w:style w:type="paragraph" w:styleId="903">
    <w:name w:val="正文文本缩进 2"/>
    <w:basedOn w:val="859"/>
    <w:next w:val="903"/>
    <w:link w:val="904"/>
    <w:qFormat/>
    <w:pPr>
      <w:ind w:firstLine="480"/>
    </w:pPr>
    <w:rPr>
      <w:rFonts w:ascii="仿宋_GB2312" w:eastAsia="仿宋_GB2312"/>
      <w:sz w:val="24"/>
    </w:rPr>
  </w:style>
  <w:style w:type="character" w:styleId="904">
    <w:name w:val="正文文本缩进 2 Char"/>
    <w:next w:val="904"/>
    <w:link w:val="903"/>
    <w:qFormat/>
    <w:rPr>
      <w:rFonts w:ascii="仿宋_GB2312" w:eastAsia="仿宋_GB2312"/>
      <w:sz w:val="24"/>
      <w:szCs w:val="24"/>
    </w:rPr>
  </w:style>
  <w:style w:type="paragraph" w:styleId="905">
    <w:name w:val="批注框文本"/>
    <w:basedOn w:val="859"/>
    <w:next w:val="905"/>
    <w:link w:val="906"/>
    <w:qFormat/>
    <w:rPr>
      <w:sz w:val="18"/>
      <w:szCs w:val="18"/>
    </w:rPr>
  </w:style>
  <w:style w:type="character" w:styleId="906">
    <w:name w:val="批注框文本 Char"/>
    <w:next w:val="906"/>
    <w:link w:val="905"/>
    <w:qFormat/>
    <w:rPr>
      <w:sz w:val="18"/>
      <w:szCs w:val="18"/>
    </w:rPr>
  </w:style>
  <w:style w:type="paragraph" w:styleId="907">
    <w:name w:val="页脚"/>
    <w:basedOn w:val="859"/>
    <w:next w:val="907"/>
    <w:link w:val="908"/>
    <w:uiPriority w:val="99"/>
    <w:qFormat/>
    <w:pPr>
      <w:jc w:val="left"/>
      <w:tabs>
        <w:tab w:val="center" w:pos="4153" w:leader="none"/>
        <w:tab w:val="right" w:pos="8306" w:leader="none"/>
      </w:tabs>
    </w:pPr>
    <w:rPr>
      <w:rFonts w:ascii="宋体"/>
      <w:sz w:val="18"/>
      <w:szCs w:val="20"/>
    </w:rPr>
  </w:style>
  <w:style w:type="character" w:styleId="908">
    <w:name w:val="页脚 Char1"/>
    <w:next w:val="908"/>
    <w:link w:val="907"/>
    <w:uiPriority w:val="99"/>
    <w:qFormat/>
    <w:rPr>
      <w:rFonts w:ascii="宋体" w:eastAsia="宋体"/>
      <w:sz w:val="18"/>
      <w:lang w:val="en-US" w:eastAsia="zh-CN" w:bidi="ar-SA"/>
    </w:rPr>
  </w:style>
  <w:style w:type="paragraph" w:styleId="909">
    <w:name w:val="寄信人地址"/>
    <w:basedOn w:val="859"/>
    <w:next w:val="909"/>
    <w:link w:val="859"/>
    <w:qFormat/>
    <w:rPr>
      <w:rFonts w:ascii="Arial" w:hAnsi="Arial"/>
    </w:rPr>
  </w:style>
  <w:style w:type="paragraph" w:styleId="910">
    <w:name w:val="页眉"/>
    <w:basedOn w:val="859"/>
    <w:next w:val="910"/>
    <w:link w:val="911"/>
    <w:qFormat/>
    <w:pPr>
      <w:jc w:val="center"/>
      <w:tabs>
        <w:tab w:val="center" w:pos="4153" w:leader="none"/>
        <w:tab w:val="right" w:pos="8306" w:leader="none"/>
      </w:tabs>
      <w:pBdr>
        <w:bottom w:val="single" w:color="000000" w:sz="6" w:space="1"/>
      </w:pBdr>
    </w:pPr>
    <w:rPr>
      <w:sz w:val="18"/>
      <w:szCs w:val="18"/>
    </w:rPr>
  </w:style>
  <w:style w:type="character" w:styleId="911">
    <w:name w:val="页眉 Char1"/>
    <w:next w:val="911"/>
    <w:link w:val="910"/>
    <w:qFormat/>
    <w:rPr>
      <w:rFonts w:eastAsia="宋体"/>
      <w:sz w:val="18"/>
      <w:szCs w:val="18"/>
      <w:lang w:val="en-US" w:eastAsia="zh-CN" w:bidi="ar-SA"/>
    </w:rPr>
  </w:style>
  <w:style w:type="paragraph" w:styleId="912">
    <w:name w:val="目录 1"/>
    <w:basedOn w:val="859"/>
    <w:next w:val="859"/>
    <w:link w:val="859"/>
    <w:uiPriority w:val="39"/>
    <w:qFormat/>
    <w:pPr>
      <w:spacing w:line="300" w:lineRule="auto"/>
      <w:tabs>
        <w:tab w:val="left" w:pos="1050" w:leader="none"/>
        <w:tab w:val="right" w:pos="8937" w:leader="dot"/>
      </w:tabs>
    </w:pPr>
    <w:rPr>
      <w:rFonts w:ascii="宋体" w:hAnsi="宋体"/>
      <w:b/>
      <w:sz w:val="24"/>
    </w:rPr>
  </w:style>
  <w:style w:type="paragraph" w:styleId="913">
    <w:name w:val="目录 4"/>
    <w:basedOn w:val="859"/>
    <w:next w:val="859"/>
    <w:link w:val="859"/>
    <w:qFormat/>
    <w:pPr>
      <w:ind w:left="1260"/>
    </w:pPr>
  </w:style>
  <w:style w:type="paragraph" w:styleId="914">
    <w:name w:val="目录 6"/>
    <w:basedOn w:val="859"/>
    <w:next w:val="859"/>
    <w:link w:val="859"/>
    <w:qFormat/>
    <w:pPr>
      <w:ind w:left="2100"/>
    </w:pPr>
  </w:style>
  <w:style w:type="paragraph" w:styleId="915">
    <w:name w:val="正文文本缩进 3"/>
    <w:basedOn w:val="859"/>
    <w:next w:val="915"/>
    <w:link w:val="916"/>
    <w:qFormat/>
    <w:pPr>
      <w:ind w:left="720" w:firstLine="480"/>
      <w:jc w:val="left"/>
      <w:spacing w:before="120" w:line="22" w:lineRule="atLeast"/>
    </w:pPr>
    <w:rPr>
      <w:rFonts w:ascii="宋体"/>
      <w:sz w:val="24"/>
      <w:szCs w:val="20"/>
    </w:rPr>
  </w:style>
  <w:style w:type="character" w:styleId="916">
    <w:name w:val="正文文本缩进 3 Char"/>
    <w:next w:val="916"/>
    <w:link w:val="915"/>
    <w:qFormat/>
    <w:rPr>
      <w:rFonts w:ascii="宋体"/>
      <w:sz w:val="24"/>
    </w:rPr>
  </w:style>
  <w:style w:type="paragraph" w:styleId="917">
    <w:name w:val="目录 2"/>
    <w:basedOn w:val="859"/>
    <w:next w:val="859"/>
    <w:link w:val="859"/>
    <w:uiPriority w:val="39"/>
    <w:qFormat/>
    <w:pPr>
      <w:ind w:left="420"/>
      <w:spacing w:line="312" w:lineRule="auto"/>
      <w:tabs>
        <w:tab w:val="right" w:pos="8937" w:leader="dot"/>
      </w:tabs>
    </w:pPr>
  </w:style>
  <w:style w:type="paragraph" w:styleId="918">
    <w:name w:val="目录 9"/>
    <w:basedOn w:val="859"/>
    <w:next w:val="859"/>
    <w:link w:val="859"/>
    <w:qFormat/>
    <w:pPr>
      <w:ind w:left="3360"/>
    </w:pPr>
  </w:style>
  <w:style w:type="paragraph" w:styleId="919">
    <w:name w:val="HTML 预设格式"/>
    <w:basedOn w:val="859"/>
    <w:next w:val="919"/>
    <w:link w:val="9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0">
    <w:name w:val="HTML 预设格式 Char"/>
    <w:next w:val="920"/>
    <w:link w:val="919"/>
    <w:qFormat/>
    <w:rPr>
      <w:rFonts w:ascii="宋体" w:hAnsi="宋体" w:cs="宋体"/>
      <w:sz w:val="24"/>
      <w:szCs w:val="24"/>
    </w:rPr>
  </w:style>
  <w:style w:type="paragraph" w:styleId="921">
    <w:name w:val="普通(网站)"/>
    <w:basedOn w:val="859"/>
    <w:next w:val="921"/>
    <w:link w:val="859"/>
    <w:uiPriority w:val="99"/>
    <w:unhideWhenUsed/>
    <w:qFormat/>
    <w:pPr>
      <w:jc w:val="left"/>
      <w:spacing w:before="100" w:beforeAutospacing="1" w:after="100" w:afterAutospacing="1"/>
      <w:widowControl/>
    </w:pPr>
    <w:rPr>
      <w:rFonts w:ascii="宋体" w:hAnsi="宋体" w:cs="宋体"/>
      <w:sz w:val="24"/>
    </w:rPr>
  </w:style>
  <w:style w:type="paragraph" w:styleId="922">
    <w:name w:val="索引 1"/>
    <w:basedOn w:val="859"/>
    <w:next w:val="859"/>
    <w:link w:val="859"/>
    <w:qFormat/>
    <w:rPr>
      <w:szCs w:val="20"/>
    </w:rPr>
  </w:style>
  <w:style w:type="paragraph" w:styleId="923">
    <w:name w:val="标题"/>
    <w:basedOn w:val="859"/>
    <w:next w:val="923"/>
    <w:link w:val="924"/>
    <w:qFormat/>
    <w:pPr>
      <w:jc w:val="center"/>
      <w:outlineLvl w:val="0"/>
    </w:pPr>
    <w:rPr>
      <w:b/>
      <w:sz w:val="32"/>
      <w:szCs w:val="20"/>
    </w:rPr>
  </w:style>
  <w:style w:type="character" w:styleId="924">
    <w:name w:val="标题 Char1"/>
    <w:next w:val="924"/>
    <w:link w:val="923"/>
    <w:qFormat/>
    <w:rPr>
      <w:b/>
      <w:sz w:val="32"/>
    </w:rPr>
  </w:style>
  <w:style w:type="paragraph" w:styleId="925">
    <w:name w:val="批注主题"/>
    <w:basedOn w:val="888"/>
    <w:next w:val="888"/>
    <w:link w:val="926"/>
    <w:qFormat/>
    <w:rPr>
      <w:b/>
      <w:bCs/>
    </w:rPr>
  </w:style>
  <w:style w:type="character" w:styleId="926">
    <w:name w:val="批注主题 Char"/>
    <w:next w:val="926"/>
    <w:link w:val="925"/>
    <w:qFormat/>
    <w:rPr>
      <w:rFonts w:ascii="Times New Roman" w:hAnsi="Times New Roman" w:eastAsia="宋体" w:cs="Times New Roman"/>
      <w:b/>
      <w:bCs/>
      <w:sz w:val="21"/>
      <w:szCs w:val="24"/>
      <w:lang w:val="en-US" w:eastAsia="zh-CN" w:bidi="ar-SA"/>
    </w:rPr>
  </w:style>
  <w:style w:type="paragraph" w:styleId="927">
    <w:name w:val="正文首行缩进 2"/>
    <w:basedOn w:val="892"/>
    <w:next w:val="927"/>
    <w:link w:val="928"/>
    <w:qFormat/>
    <w:pPr>
      <w:ind w:left="420" w:firstLine="420"/>
      <w:spacing w:after="120" w:line="480" w:lineRule="exact"/>
    </w:pPr>
    <w:rPr>
      <w:szCs w:val="20"/>
    </w:rPr>
  </w:style>
  <w:style w:type="character" w:styleId="928">
    <w:name w:val="正文首行缩进 2 Char"/>
    <w:next w:val="928"/>
    <w:link w:val="927"/>
    <w:qFormat/>
    <w:rPr>
      <w:rFonts w:eastAsia="宋体"/>
      <w:sz w:val="24"/>
      <w:szCs w:val="24"/>
      <w:lang w:val="en-US" w:eastAsia="zh-CN" w:bidi="ar-SA"/>
    </w:rPr>
  </w:style>
  <w:style w:type="table" w:styleId="929">
    <w:name w:val="网格型"/>
    <w:basedOn w:val="870"/>
    <w:next w:val="929"/>
    <w:link w:val="859"/>
    <w:uiPriority w:val="39"/>
    <w:qFormat/>
    <w:tblPr/>
  </w:style>
  <w:style w:type="table" w:styleId="930">
    <w:name w:val="中等深浅网格 1 - 强调文字颜色 2"/>
    <w:basedOn w:val="870"/>
    <w:next w:val="930"/>
    <w:link w:val="859"/>
    <w:qFormat/>
    <w:rPr>
      <w:sz w:val="21"/>
      <w:szCs w:val="24"/>
    </w:rPr>
    <w:tblPr/>
  </w:style>
  <w:style w:type="character" w:styleId="931">
    <w:name w:val="要点"/>
    <w:next w:val="931"/>
    <w:link w:val="859"/>
    <w:qFormat/>
    <w:rPr>
      <w:b/>
      <w:bCs/>
    </w:rPr>
  </w:style>
  <w:style w:type="character" w:styleId="932">
    <w:name w:val="页码"/>
    <w:next w:val="932"/>
    <w:link w:val="859"/>
    <w:qFormat/>
  </w:style>
  <w:style w:type="character" w:styleId="933">
    <w:name w:val="已访问的超链接"/>
    <w:next w:val="933"/>
    <w:link w:val="859"/>
    <w:qFormat/>
    <w:rPr>
      <w:color w:val="800080"/>
      <w:u w:val="single"/>
    </w:rPr>
  </w:style>
  <w:style w:type="character" w:styleId="934">
    <w:name w:val="强调"/>
    <w:next w:val="934"/>
    <w:link w:val="859"/>
    <w:qFormat/>
    <w:rPr>
      <w:color w:val="cc0033"/>
    </w:rPr>
  </w:style>
  <w:style w:type="character" w:styleId="935">
    <w:name w:val="超链接"/>
    <w:next w:val="935"/>
    <w:link w:val="859"/>
    <w:uiPriority w:val="99"/>
    <w:qFormat/>
    <w:rPr>
      <w:color w:val="0000ff"/>
      <w:u w:val="single"/>
    </w:rPr>
  </w:style>
  <w:style w:type="character" w:styleId="936">
    <w:name w:val="批注引用"/>
    <w:next w:val="936"/>
    <w:link w:val="859"/>
    <w:uiPriority w:val="99"/>
    <w:qFormat/>
    <w:rPr>
      <w:sz w:val="21"/>
      <w:szCs w:val="21"/>
    </w:rPr>
  </w:style>
  <w:style w:type="character" w:styleId="937">
    <w:name w:val="HTML 引文"/>
    <w:next w:val="937"/>
    <w:link w:val="859"/>
    <w:qFormat/>
    <w:rPr>
      <w:i/>
      <w:iCs/>
    </w:rPr>
  </w:style>
  <w:style w:type="character" w:styleId="938">
    <w:name w:val="批注文字 字符"/>
    <w:next w:val="938"/>
    <w:link w:val="859"/>
    <w:uiPriority w:val="99"/>
    <w:qFormat/>
    <w:rPr>
      <w:rFonts w:ascii="Times New Roman" w:hAnsi="Times New Roman" w:eastAsia="宋体" w:cs="Times New Roman"/>
      <w:sz w:val="24"/>
      <w:lang w:val="en-US" w:eastAsia="zh-CN" w:bidi="ar-SA"/>
    </w:rPr>
  </w:style>
  <w:style w:type="character" w:styleId="939">
    <w:name w:val="c21"/>
    <w:next w:val="939"/>
    <w:link w:val="859"/>
    <w:qFormat/>
    <w:rPr>
      <w:rFonts w:ascii="ˎ̥" w:hAnsi="ˎ̥"/>
      <w:color w:val="000000"/>
      <w:sz w:val="20"/>
      <w:szCs w:val="20"/>
      <w:u w:val="none"/>
    </w:rPr>
  </w:style>
  <w:style w:type="character" w:styleId="940">
    <w:name w:val="title4"/>
    <w:next w:val="940"/>
    <w:link w:val="859"/>
    <w:qFormat/>
    <w:rPr>
      <w:b/>
      <w:bCs/>
      <w:color w:val="1d87b3"/>
      <w:sz w:val="15"/>
      <w:szCs w:val="15"/>
    </w:rPr>
  </w:style>
  <w:style w:type="character" w:styleId="941">
    <w:name w:val="标题 2 Char Char"/>
    <w:next w:val="941"/>
    <w:link w:val="859"/>
    <w:qFormat/>
    <w:rPr>
      <w:rFonts w:ascii="Arial" w:hAnsi="Arial" w:eastAsia="黑体"/>
      <w:b/>
      <w:bCs/>
      <w:sz w:val="32"/>
      <w:szCs w:val="32"/>
      <w:lang w:val="en-US" w:eastAsia="zh-CN" w:bidi="ar-SA"/>
    </w:rPr>
  </w:style>
  <w:style w:type="character" w:styleId="942">
    <w:name w:val="black1"/>
    <w:next w:val="942"/>
    <w:link w:val="859"/>
    <w:qFormat/>
    <w:rPr>
      <w:color w:val="000000"/>
    </w:rPr>
  </w:style>
  <w:style w:type="character" w:styleId="943">
    <w:name w:val="street-address"/>
    <w:next w:val="943"/>
    <w:link w:val="859"/>
    <w:qFormat/>
  </w:style>
  <w:style w:type="character" w:styleId="944">
    <w:name w:val="locality"/>
    <w:next w:val="944"/>
    <w:link w:val="859"/>
    <w:qFormat/>
  </w:style>
  <w:style w:type="character" w:styleId="945">
    <w:name w:val="正文文本缩进 Char1"/>
    <w:next w:val="945"/>
    <w:link w:val="946"/>
    <w:qFormat/>
    <w:rPr>
      <w:rFonts w:ascii="宋体" w:hAnsi="宋体" w:eastAsia="宋体"/>
      <w:sz w:val="24"/>
      <w:szCs w:val="24"/>
      <w:lang w:bidi="ar-SA"/>
    </w:rPr>
  </w:style>
  <w:style w:type="paragraph" w:styleId="946">
    <w:name w:val="正文文本缩进1"/>
    <w:basedOn w:val="859"/>
    <w:next w:val="946"/>
    <w:link w:val="945"/>
    <w:qFormat/>
    <w:pPr>
      <w:ind w:firstLine="480"/>
      <w:spacing w:line="480" w:lineRule="exact"/>
    </w:pPr>
    <w:rPr>
      <w:rFonts w:ascii="宋体" w:hAnsi="宋体"/>
      <w:sz w:val="24"/>
    </w:rPr>
  </w:style>
  <w:style w:type="character" w:styleId="947">
    <w:name w:val="Char Char11"/>
    <w:next w:val="947"/>
    <w:link w:val="859"/>
    <w:qFormat/>
    <w:rPr>
      <w:rFonts w:ascii="宋体" w:eastAsia="宋体"/>
      <w:b/>
      <w:sz w:val="24"/>
      <w:u w:val="single"/>
      <w:lang w:val="en-US" w:eastAsia="zh-CN" w:bidi="ar-SA"/>
    </w:rPr>
  </w:style>
  <w:style w:type="character" w:styleId="948">
    <w:name w:val="txt"/>
    <w:next w:val="948"/>
    <w:link w:val="859"/>
    <w:qFormat/>
  </w:style>
  <w:style w:type="character" w:styleId="949">
    <w:name w:val="正文缩进 Char Char"/>
    <w:next w:val="949"/>
    <w:link w:val="950"/>
    <w:qFormat/>
    <w:rPr>
      <w:rFonts w:ascii="宋体" w:eastAsia="宋体"/>
      <w:color w:val="000000"/>
      <w:sz w:val="28"/>
      <w:lang w:bidi="ar-SA"/>
    </w:rPr>
  </w:style>
  <w:style w:type="paragraph" w:styleId="950">
    <w:name w:val="正文缩进1"/>
    <w:basedOn w:val="859"/>
    <w:next w:val="950"/>
    <w:link w:val="949"/>
    <w:qFormat/>
    <w:pPr>
      <w:ind w:firstLine="567"/>
      <w:spacing w:line="480" w:lineRule="exact"/>
      <w:widowControl/>
    </w:pPr>
    <w:rPr>
      <w:rFonts w:ascii="宋体"/>
      <w:color w:val="000000"/>
      <w:sz w:val="28"/>
      <w:szCs w:val="20"/>
    </w:rPr>
  </w:style>
  <w:style w:type="character" w:styleId="951">
    <w:name w:val="普通文字1 Char1"/>
    <w:next w:val="951"/>
    <w:link w:val="859"/>
    <w:qFormat/>
    <w:rPr>
      <w:rFonts w:ascii="宋体" w:hAnsi="Courier New" w:eastAsia="宋体"/>
      <w:sz w:val="21"/>
      <w:lang w:val="en-US" w:eastAsia="zh-CN" w:bidi="ar-SA"/>
    </w:rPr>
  </w:style>
  <w:style w:type="character" w:styleId="952">
    <w:name w:val="chanpin1"/>
    <w:next w:val="952"/>
    <w:link w:val="859"/>
    <w:qFormat/>
    <w:rPr>
      <w:rFonts w:ascii="ˎ̥" w:hAnsi="ˎ̥"/>
      <w:color w:val="000000"/>
      <w:sz w:val="20"/>
      <w:szCs w:val="20"/>
      <w:u w:val="none"/>
    </w:rPr>
  </w:style>
  <w:style w:type="character" w:styleId="953">
    <w:name w:val="列出段落 Char1"/>
    <w:next w:val="953"/>
    <w:link w:val="954"/>
    <w:uiPriority w:val="34"/>
    <w:qFormat/>
    <w:rPr>
      <w:rFonts w:ascii="Calibri" w:hAnsi="Calibri" w:eastAsia="宋体"/>
      <w:sz w:val="21"/>
      <w:szCs w:val="22"/>
      <w:lang w:val="en-US" w:eastAsia="zh-CN" w:bidi="ar-SA"/>
    </w:rPr>
  </w:style>
  <w:style w:type="paragraph" w:styleId="954">
    <w:name w:val="列出段落"/>
    <w:basedOn w:val="859"/>
    <w:next w:val="954"/>
    <w:link w:val="953"/>
    <w:uiPriority w:val="34"/>
    <w:qFormat/>
    <w:pPr>
      <w:ind w:firstLine="420"/>
    </w:pPr>
    <w:rPr>
      <w:rFonts w:ascii="Calibri" w:hAnsi="Calibri"/>
      <w:szCs w:val="22"/>
    </w:rPr>
  </w:style>
  <w:style w:type="character" w:styleId="955">
    <w:name w:val="标题 3 Char Char"/>
    <w:next w:val="955"/>
    <w:link w:val="859"/>
    <w:qFormat/>
    <w:rPr>
      <w:rFonts w:eastAsia="宋体"/>
      <w:b/>
      <w:bCs/>
      <w:sz w:val="32"/>
      <w:szCs w:val="32"/>
      <w:lang w:val="en-US" w:eastAsia="zh-CN" w:bidi="ar-SA"/>
    </w:rPr>
  </w:style>
  <w:style w:type="character" w:styleId="956">
    <w:name w:val="段1 Char"/>
    <w:next w:val="956"/>
    <w:link w:val="859"/>
    <w:qFormat/>
    <w:rPr>
      <w:rFonts w:ascii="宋体" w:eastAsia="宋体"/>
      <w:sz w:val="24"/>
      <w:lang w:val="en-US" w:eastAsia="zh-CN" w:bidi="ar-SA"/>
    </w:rPr>
  </w:style>
  <w:style w:type="character" w:styleId="957">
    <w:name w:val="chanpin拷贝"/>
    <w:next w:val="957"/>
    <w:link w:val="859"/>
    <w:qFormat/>
  </w:style>
  <w:style w:type="character" w:styleId="958">
    <w:name w:val="纯文本 Char1"/>
    <w:next w:val="958"/>
    <w:link w:val="859"/>
    <w:uiPriority w:val="99"/>
    <w:qFormat/>
    <w:rPr>
      <w:rFonts w:ascii="宋体" w:hAnsi="Courier New" w:eastAsia="宋体"/>
      <w:sz w:val="21"/>
      <w:lang w:val="en-US" w:eastAsia="zh-CN" w:bidi="ar-SA"/>
    </w:rPr>
  </w:style>
  <w:style w:type="character" w:styleId="959">
    <w:name w:val="apple-style-span"/>
    <w:next w:val="959"/>
    <w:link w:val="859"/>
    <w:qFormat/>
    <w:rPr>
      <w:rFonts w:cs="Times New Roman"/>
    </w:rPr>
  </w:style>
  <w:style w:type="paragraph" w:styleId="960">
    <w:name w:val="二级条标题"/>
    <w:basedOn w:val="961"/>
    <w:next w:val="859"/>
    <w:link w:val="859"/>
    <w:qFormat/>
    <w:pPr>
      <w:numPr>
        <w:ilvl w:val="0"/>
        <w:numId w:val="0"/>
      </w:numPr>
      <w:ind w:hanging="840"/>
      <w:tabs>
        <w:tab w:val="left" w:pos="360" w:leader="none"/>
        <w:tab w:val="left" w:pos="840" w:leader="none"/>
      </w:tabs>
      <w:outlineLvl w:val="2"/>
    </w:pPr>
    <w:rPr>
      <w:rFonts w:ascii="宋体" w:eastAsia="宋体"/>
      <w:b w:val="0"/>
    </w:rPr>
  </w:style>
  <w:style w:type="paragraph" w:styleId="961">
    <w:name w:val="一级条标题"/>
    <w:basedOn w:val="962"/>
    <w:next w:val="859"/>
    <w:link w:val="859"/>
    <w:qFormat/>
    <w:pPr>
      <w:numPr>
        <w:ilvl w:val="1"/>
      </w:numPr>
      <w:ind w:left="0" w:hanging="840"/>
      <w:tabs>
        <w:tab w:val="left" w:pos="360" w:leader="none"/>
        <w:tab w:val="left" w:pos="840" w:leader="none"/>
      </w:tabs>
      <w:outlineLvl w:val="1"/>
    </w:pPr>
  </w:style>
  <w:style w:type="paragraph" w:styleId="962">
    <w:name w:val="章标题"/>
    <w:next w:val="859"/>
    <w:link w:val="85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3">
    <w:name w:val="font7"/>
    <w:basedOn w:val="859"/>
    <w:next w:val="963"/>
    <w:link w:val="859"/>
    <w:qFormat/>
    <w:pPr>
      <w:jc w:val="left"/>
      <w:spacing w:before="100" w:beforeAutospacing="1" w:after="100" w:afterAutospacing="1"/>
      <w:widowControl/>
    </w:pPr>
    <w:rPr>
      <w:rFonts w:eastAsia="Arial Unicode MS"/>
      <w:b/>
      <w:bCs/>
      <w:color w:val="000000"/>
      <w:sz w:val="20"/>
      <w:szCs w:val="20"/>
    </w:rPr>
  </w:style>
  <w:style w:type="paragraph" w:styleId="964">
    <w:name w:val="字元 字元"/>
    <w:basedOn w:val="859"/>
    <w:next w:val="964"/>
    <w:link w:val="859"/>
    <w:qFormat/>
    <w:rPr>
      <w:rFonts w:ascii="Tahoma" w:hAnsi="Tahoma"/>
      <w:sz w:val="24"/>
      <w:szCs w:val="20"/>
    </w:rPr>
  </w:style>
  <w:style w:type="paragraph" w:styleId="965">
    <w:name w:val="Char3 Char Char Char"/>
    <w:basedOn w:val="859"/>
    <w:next w:val="965"/>
    <w:link w:val="859"/>
    <w:qFormat/>
    <w:rPr>
      <w:rFonts w:ascii="Tahoma" w:hAnsi="Tahoma"/>
      <w:sz w:val="24"/>
      <w:szCs w:val="20"/>
    </w:rPr>
  </w:style>
  <w:style w:type="paragraph" w:styleId="966">
    <w:name w:val="font6"/>
    <w:basedOn w:val="859"/>
    <w:next w:val="966"/>
    <w:link w:val="859"/>
    <w:qFormat/>
    <w:pPr>
      <w:jc w:val="left"/>
      <w:spacing w:before="100" w:beforeAutospacing="1" w:after="100" w:afterAutospacing="1"/>
      <w:widowControl/>
    </w:pPr>
    <w:rPr>
      <w:rFonts w:ascii="宋体" w:hAnsi="宋体" w:cs="宋体"/>
      <w:sz w:val="20"/>
      <w:szCs w:val="20"/>
    </w:rPr>
  </w:style>
  <w:style w:type="paragraph" w:styleId="967">
    <w:name w:val="项目编号2"/>
    <w:basedOn w:val="968"/>
    <w:next w:val="967"/>
    <w:link w:val="859"/>
    <w:qFormat/>
    <w:pPr>
      <w:numPr>
        <w:numId w:val="3"/>
      </w:numPr>
    </w:pPr>
  </w:style>
  <w:style w:type="paragraph" w:styleId="968">
    <w:name w:val="项目编号1"/>
    <w:basedOn w:val="859"/>
    <w:next w:val="968"/>
    <w:link w:val="859"/>
    <w:qFormat/>
    <w:pPr>
      <w:numPr>
        <w:ilvl w:val="0"/>
        <w:numId w:val="2"/>
      </w:numPr>
      <w:spacing w:before="100" w:beforeAutospacing="1" w:after="100" w:afterAutospacing="1" w:line="360" w:lineRule="auto"/>
    </w:pPr>
    <w:rPr>
      <w:sz w:val="24"/>
    </w:rPr>
  </w:style>
  <w:style w:type="paragraph" w:styleId="969">
    <w:name w:val="图中文字"/>
    <w:basedOn w:val="859"/>
    <w:next w:val="969"/>
    <w:link w:val="859"/>
    <w:qFormat/>
    <w:pPr>
      <w:jc w:val="center"/>
      <w:spacing w:line="0" w:lineRule="atLeast"/>
    </w:pPr>
    <w:rPr>
      <w:sz w:val="24"/>
      <w:szCs w:val="20"/>
    </w:rPr>
  </w:style>
  <w:style w:type="paragraph" w:styleId="970">
    <w:name w:val="xl46"/>
    <w:basedOn w:val="859"/>
    <w:next w:val="970"/>
    <w:link w:val="85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1">
    <w:name w:val="xl25"/>
    <w:basedOn w:val="859"/>
    <w:next w:val="971"/>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2">
    <w:name w:val="Char2"/>
    <w:basedOn w:val="859"/>
    <w:next w:val="972"/>
    <w:link w:val="859"/>
    <w:qFormat/>
    <w:rPr>
      <w:rFonts w:ascii="Tahoma" w:hAnsi="Tahoma"/>
      <w:sz w:val="24"/>
      <w:szCs w:val="20"/>
    </w:rPr>
  </w:style>
  <w:style w:type="paragraph" w:styleId="973">
    <w:name w:val="xl35"/>
    <w:basedOn w:val="859"/>
    <w:next w:val="973"/>
    <w:link w:val="8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4">
    <w:name w:val="xl40"/>
    <w:basedOn w:val="859"/>
    <w:next w:val="974"/>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5">
    <w:name w:val="xl52"/>
    <w:basedOn w:val="859"/>
    <w:next w:val="975"/>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6">
    <w:name w:val="xl43"/>
    <w:basedOn w:val="859"/>
    <w:next w:val="976"/>
    <w:link w:val="8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7">
    <w:name w:val="background1"/>
    <w:basedOn w:val="859"/>
    <w:next w:val="977"/>
    <w:link w:val="859"/>
    <w:qFormat/>
    <w:pPr>
      <w:jc w:val="left"/>
      <w:spacing w:before="100" w:beforeAutospacing="1" w:after="100" w:afterAutospacing="1"/>
      <w:widowControl/>
    </w:pPr>
    <w:rPr>
      <w:rFonts w:ascii="宋体" w:hAnsi="宋体" w:cs="宋体"/>
      <w:sz w:val="24"/>
    </w:rPr>
  </w:style>
  <w:style w:type="paragraph" w:styleId="978">
    <w:name w:val="Char Char Char Char Char Char Char"/>
    <w:basedOn w:val="859"/>
    <w:next w:val="978"/>
    <w:link w:val="859"/>
    <w:qFormat/>
    <w:pPr>
      <w:ind w:firstLine="200"/>
      <w:spacing w:line="360" w:lineRule="auto"/>
    </w:pPr>
    <w:rPr>
      <w:rFonts w:eastAsia="仿宋_GB2312"/>
      <w:sz w:val="24"/>
    </w:rPr>
  </w:style>
  <w:style w:type="paragraph" w:styleId="979">
    <w:name w:val="xl38"/>
    <w:basedOn w:val="859"/>
    <w:next w:val="979"/>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0">
    <w:name w:val="xl36"/>
    <w:basedOn w:val="859"/>
    <w:next w:val="980"/>
    <w:link w:val="8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1">
    <w:name w:val="正文 + 宋体"/>
    <w:basedOn w:val="859"/>
    <w:next w:val="981"/>
    <w:link w:val="859"/>
    <w:qFormat/>
    <w:pPr>
      <w:ind w:left="360" w:hanging="360"/>
      <w:jc w:val="left"/>
      <w:widowControl/>
    </w:pPr>
    <w:rPr>
      <w:rFonts w:ascii="宋体" w:hAnsi="宋体" w:cs="宋体"/>
      <w:b/>
      <w:bCs/>
      <w:color w:val="000000"/>
      <w:sz w:val="18"/>
      <w:szCs w:val="18"/>
    </w:rPr>
  </w:style>
  <w:style w:type="paragraph" w:styleId="982">
    <w:name w:val="正文列项_数字"/>
    <w:basedOn w:val="859"/>
    <w:next w:val="982"/>
    <w:link w:val="859"/>
    <w:qFormat/>
    <w:pPr>
      <w:numPr>
        <w:ilvl w:val="7"/>
        <w:numId w:val="1"/>
      </w:numPr>
      <w:ind w:left="680" w:hanging="150"/>
      <w:spacing w:line="460" w:lineRule="exact"/>
      <w:tabs>
        <w:tab w:val="clear" w:pos="860" w:leader="none"/>
      </w:tabs>
      <w:outlineLvl w:val="7"/>
    </w:pPr>
    <w:rPr>
      <w:rFonts w:ascii="宋体"/>
      <w:sz w:val="28"/>
      <w:szCs w:val="20"/>
    </w:rPr>
  </w:style>
  <w:style w:type="paragraph" w:styleId="983">
    <w:name w:val="xl39"/>
    <w:basedOn w:val="859"/>
    <w:next w:val="983"/>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name w:val="xl37"/>
    <w:basedOn w:val="859"/>
    <w:next w:val="984"/>
    <w:link w:val="8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5">
    <w:name w:val="xl32"/>
    <w:basedOn w:val="859"/>
    <w:next w:val="985"/>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6">
    <w:name w:val="font8"/>
    <w:basedOn w:val="859"/>
    <w:next w:val="986"/>
    <w:link w:val="859"/>
    <w:qFormat/>
    <w:pPr>
      <w:jc w:val="left"/>
      <w:spacing w:before="100" w:beforeAutospacing="1" w:after="100" w:afterAutospacing="1"/>
      <w:widowControl/>
    </w:pPr>
    <w:rPr>
      <w:sz w:val="36"/>
      <w:szCs w:val="36"/>
    </w:rPr>
  </w:style>
  <w:style w:type="paragraph" w:styleId="987">
    <w:name w:val="Char"/>
    <w:basedOn w:val="859"/>
    <w:next w:val="987"/>
    <w:link w:val="859"/>
    <w:qFormat/>
    <w:pPr>
      <w:tabs>
        <w:tab w:val="left" w:pos="360" w:leader="none"/>
      </w:tabs>
    </w:pPr>
    <w:rPr>
      <w:sz w:val="24"/>
    </w:rPr>
  </w:style>
  <w:style w:type="paragraph" w:styleId="988">
    <w:name w:val="Char Char Char Char Char Char Char Char Char Char Char Char Char Char Char Char"/>
    <w:basedOn w:val="859"/>
    <w:next w:val="988"/>
    <w:link w:val="859"/>
    <w:qFormat/>
    <w:pPr>
      <w:jc w:val="center"/>
      <w:spacing w:after="160" w:line="240" w:lineRule="exact"/>
      <w:widowControl/>
    </w:pPr>
    <w:rPr>
      <w:rFonts w:ascii="宋体" w:hAnsi="宋体"/>
      <w:b/>
      <w:sz w:val="30"/>
      <w:szCs w:val="30"/>
      <w:lang w:eastAsia="en-US"/>
    </w:rPr>
  </w:style>
  <w:style w:type="paragraph" w:styleId="989">
    <w:name w:val="xl45"/>
    <w:basedOn w:val="859"/>
    <w:next w:val="989"/>
    <w:link w:val="8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0">
    <w:name w:val="Char Char1 Char Char Char Char Char Char"/>
    <w:basedOn w:val="859"/>
    <w:next w:val="990"/>
    <w:link w:val="859"/>
    <w:qFormat/>
    <w:pPr>
      <w:jc w:val="left"/>
      <w:spacing w:after="160" w:line="240" w:lineRule="exact"/>
      <w:widowControl/>
    </w:pPr>
    <w:rPr>
      <w:rFonts w:ascii="Verdana" w:hAnsi="Verdana" w:eastAsia="仿宋_GB2312"/>
      <w:sz w:val="24"/>
      <w:szCs w:val="20"/>
      <w:lang w:eastAsia="en-US"/>
    </w:rPr>
  </w:style>
  <w:style w:type="paragraph" w:styleId="991">
    <w:name w:val="Char Char1"/>
    <w:basedOn w:val="886"/>
    <w:next w:val="991"/>
    <w:link w:val="859"/>
    <w:qFormat/>
    <w:rPr>
      <w:rFonts w:ascii="Tahoma" w:hAnsi="Tahoma"/>
      <w:sz w:val="24"/>
    </w:rPr>
  </w:style>
  <w:style w:type="paragraph" w:styleId="992">
    <w:name w:val="xl26"/>
    <w:basedOn w:val="859"/>
    <w:next w:val="992"/>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3">
    <w:name w:val="xl30"/>
    <w:basedOn w:val="859"/>
    <w:next w:val="993"/>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4">
    <w:name w:val="xl41"/>
    <w:basedOn w:val="859"/>
    <w:next w:val="994"/>
    <w:link w:val="8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5">
    <w:name w:val="样式 宋体 五号 行距: 单倍行距"/>
    <w:basedOn w:val="859"/>
    <w:next w:val="995"/>
    <w:link w:val="859"/>
    <w:qFormat/>
    <w:pPr>
      <w:jc w:val="left"/>
    </w:pPr>
    <w:rPr>
      <w:rFonts w:ascii="宋体" w:hAnsi="宋体"/>
      <w:szCs w:val="20"/>
    </w:rPr>
  </w:style>
  <w:style w:type="paragraph" w:styleId="996">
    <w:name w:val="Char1 Char Char Char1"/>
    <w:basedOn w:val="859"/>
    <w:next w:val="996"/>
    <w:link w:val="859"/>
    <w:qFormat/>
    <w:rPr>
      <w:rFonts w:ascii="Tahoma" w:hAnsi="Tahoma" w:cs="仿宋_GB2312"/>
      <w:sz w:val="24"/>
      <w:szCs w:val="28"/>
    </w:rPr>
  </w:style>
  <w:style w:type="paragraph" w:styleId="997">
    <w:name w:val="四级条标题"/>
    <w:basedOn w:val="998"/>
    <w:next w:val="859"/>
    <w:link w:val="859"/>
    <w:qFormat/>
    <w:pPr>
      <w:numPr>
        <w:ilvl w:val="4"/>
      </w:numPr>
      <w:ind w:left="0" w:hanging="840"/>
      <w:tabs>
        <w:tab w:val="left" w:pos="360" w:leader="none"/>
        <w:tab w:val="left" w:pos="840" w:leader="none"/>
      </w:tabs>
      <w:outlineLvl w:val="4"/>
    </w:pPr>
  </w:style>
  <w:style w:type="paragraph" w:styleId="998">
    <w:name w:val="三级条标题"/>
    <w:basedOn w:val="960"/>
    <w:next w:val="859"/>
    <w:link w:val="859"/>
    <w:qFormat/>
    <w:pPr>
      <w:numPr>
        <w:ilvl w:val="3"/>
        <w:numId w:val="1"/>
      </w:numPr>
      <w:ind w:left="0" w:hanging="840"/>
      <w:tabs>
        <w:tab w:val="left" w:pos="360" w:leader="none"/>
        <w:tab w:val="left" w:pos="840" w:leader="none"/>
      </w:tabs>
      <w:outlineLvl w:val="3"/>
    </w:pPr>
  </w:style>
  <w:style w:type="paragraph" w:styleId="999">
    <w:name w:val="??"/>
    <w:next w:val="999"/>
    <w:link w:val="859"/>
    <w:qFormat/>
    <w:pPr>
      <w:jc w:val="both"/>
      <w:widowControl w:val="off"/>
    </w:pPr>
    <w:rPr>
      <w:sz w:val="21"/>
      <w:lang w:val="en-US" w:eastAsia="en-US" w:bidi="ar-SA"/>
    </w:rPr>
  </w:style>
  <w:style w:type="paragraph" w:styleId="1000">
    <w:name w:val="样式 标题 2 + 宋体 五号 行距: 单倍行距"/>
    <w:basedOn w:val="861"/>
    <w:next w:val="1000"/>
    <w:link w:val="85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1">
    <w:name w:val="List Paragraph1"/>
    <w:basedOn w:val="859"/>
    <w:next w:val="1001"/>
    <w:link w:val="859"/>
    <w:qFormat/>
    <w:pPr>
      <w:ind w:firstLine="420"/>
    </w:pPr>
    <w:rPr>
      <w:rFonts w:ascii="Calibri" w:hAnsi="Calibri"/>
      <w:szCs w:val="22"/>
    </w:rPr>
  </w:style>
  <w:style w:type="paragraph" w:styleId="1002">
    <w:name w:val="项目符号1"/>
    <w:basedOn w:val="1003"/>
    <w:next w:val="1002"/>
    <w:link w:val="859"/>
    <w:qFormat/>
    <w:pPr>
      <w:ind w:left="-25" w:firstLine="0"/>
    </w:pPr>
  </w:style>
  <w:style w:type="paragraph" w:styleId="1003">
    <w:name w:val="正文文本样式"/>
    <w:basedOn w:val="859"/>
    <w:next w:val="1003"/>
    <w:link w:val="859"/>
    <w:qFormat/>
    <w:pPr>
      <w:ind w:firstLine="482"/>
      <w:spacing w:line="360" w:lineRule="auto"/>
    </w:pPr>
    <w:rPr>
      <w:rFonts w:cs="宋体"/>
      <w:sz w:val="24"/>
      <w:szCs w:val="20"/>
    </w:rPr>
  </w:style>
  <w:style w:type="paragraph" w:styleId="1004">
    <w:name w:val="xl27"/>
    <w:basedOn w:val="859"/>
    <w:next w:val="1004"/>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5">
    <w:name w:val="font5"/>
    <w:basedOn w:val="859"/>
    <w:next w:val="1005"/>
    <w:link w:val="859"/>
    <w:qFormat/>
    <w:pPr>
      <w:jc w:val="left"/>
      <w:spacing w:before="100" w:beforeAutospacing="1" w:after="100" w:afterAutospacing="1"/>
      <w:widowControl/>
    </w:pPr>
    <w:rPr>
      <w:rFonts w:ascii="宋体" w:hAnsi="宋体" w:cs="宋体"/>
      <w:sz w:val="18"/>
      <w:szCs w:val="18"/>
    </w:rPr>
  </w:style>
  <w:style w:type="paragraph" w:styleId="1006">
    <w:name w:val="五级条标题"/>
    <w:basedOn w:val="997"/>
    <w:next w:val="859"/>
    <w:link w:val="859"/>
    <w:qFormat/>
    <w:pPr>
      <w:numPr>
        <w:ilvl w:val="5"/>
      </w:numPr>
      <w:ind w:left="0" w:hanging="840"/>
      <w:tabs>
        <w:tab w:val="left" w:pos="360" w:leader="none"/>
        <w:tab w:val="left" w:pos="840" w:leader="none"/>
      </w:tabs>
      <w:outlineLvl w:val="5"/>
    </w:pPr>
  </w:style>
  <w:style w:type="paragraph" w:styleId="1007">
    <w:name w:val="xl49"/>
    <w:basedOn w:val="859"/>
    <w:next w:val="1007"/>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8">
    <w:name w:val="文档正文"/>
    <w:basedOn w:val="859"/>
    <w:next w:val="1008"/>
    <w:link w:val="859"/>
    <w:qFormat/>
    <w:pPr>
      <w:spacing w:before="120" w:after="120" w:line="180" w:lineRule="auto"/>
    </w:pPr>
    <w:rPr>
      <w:rFonts w:ascii="Arial" w:hAnsi="Arial"/>
      <w:szCs w:val="20"/>
    </w:rPr>
  </w:style>
  <w:style w:type="paragraph" w:styleId="1009">
    <w:name w:val="xl33"/>
    <w:basedOn w:val="859"/>
    <w:next w:val="1009"/>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0">
    <w:name w:val="xl42"/>
    <w:basedOn w:val="859"/>
    <w:next w:val="1010"/>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1">
    <w:name w:val="Char Char Char1 Char"/>
    <w:basedOn w:val="859"/>
    <w:next w:val="1011"/>
    <w:link w:val="859"/>
    <w:qFormat/>
    <w:rPr>
      <w:rFonts w:ascii="Tahoma" w:hAnsi="Tahoma"/>
      <w:sz w:val="24"/>
      <w:szCs w:val="20"/>
    </w:rPr>
  </w:style>
  <w:style w:type="paragraph" w:styleId="1012">
    <w:name w:val="xl44"/>
    <w:basedOn w:val="859"/>
    <w:next w:val="1012"/>
    <w:link w:val="8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3">
    <w:name w:val="1名"/>
    <w:basedOn w:val="859"/>
    <w:next w:val="1013"/>
    <w:link w:val="859"/>
    <w:qFormat/>
    <w:pPr>
      <w:numPr>
        <w:ilvl w:val="0"/>
        <w:numId w:val="5"/>
      </w:numPr>
      <w:spacing w:before="120"/>
      <w:tabs>
        <w:tab w:val="left" w:pos="360" w:leader="none"/>
      </w:tabs>
    </w:pPr>
    <w:rPr>
      <w:rFonts w:ascii="宋体"/>
      <w:sz w:val="28"/>
      <w:szCs w:val="20"/>
    </w:rPr>
  </w:style>
  <w:style w:type="paragraph" w:styleId="1014">
    <w:name w:val="font9"/>
    <w:basedOn w:val="859"/>
    <w:next w:val="1014"/>
    <w:link w:val="859"/>
    <w:qFormat/>
    <w:pPr>
      <w:jc w:val="left"/>
      <w:spacing w:before="100" w:beforeAutospacing="1" w:after="100" w:afterAutospacing="1"/>
      <w:widowControl/>
    </w:pPr>
    <w:rPr>
      <w:rFonts w:hint="eastAsia" w:ascii="宋体" w:hAnsi="宋体" w:cs="Arial Unicode MS"/>
      <w:color w:val="000000"/>
      <w:sz w:val="20"/>
      <w:szCs w:val="20"/>
    </w:rPr>
  </w:style>
  <w:style w:type="paragraph" w:styleId="1015">
    <w:name w:val="Char Char Char1 Char1"/>
    <w:basedOn w:val="859"/>
    <w:next w:val="1015"/>
    <w:link w:val="859"/>
    <w:qFormat/>
    <w:rPr>
      <w:rFonts w:ascii="Tahoma" w:hAnsi="Tahoma"/>
      <w:sz w:val="24"/>
      <w:szCs w:val="20"/>
    </w:rPr>
  </w:style>
  <w:style w:type="paragraph" w:styleId="1016">
    <w:name w:val="Char Char Char Char Char Char Char Char Char Char"/>
    <w:basedOn w:val="859"/>
    <w:next w:val="1016"/>
    <w:link w:val="859"/>
    <w:qFormat/>
  </w:style>
  <w:style w:type="paragraph" w:styleId="1017">
    <w:name w:val="Char Char1 Char Char Char Char Char Char Char Char"/>
    <w:basedOn w:val="859"/>
    <w:next w:val="1017"/>
    <w:link w:val="859"/>
    <w:qFormat/>
    <w:pPr>
      <w:jc w:val="left"/>
      <w:spacing w:after="160" w:line="240" w:lineRule="exact"/>
      <w:widowControl/>
    </w:pPr>
    <w:rPr>
      <w:rFonts w:ascii="Verdana" w:hAnsi="Verdana"/>
      <w:sz w:val="20"/>
      <w:szCs w:val="20"/>
      <w:lang w:eastAsia="en-US"/>
    </w:rPr>
  </w:style>
  <w:style w:type="paragraph" w:styleId="1018">
    <w:name w:val="Char1"/>
    <w:basedOn w:val="859"/>
    <w:next w:val="1018"/>
    <w:link w:val="859"/>
    <w:qFormat/>
    <w:pPr>
      <w:tabs>
        <w:tab w:val="left" w:pos="360" w:leader="none"/>
      </w:tabs>
    </w:pPr>
    <w:rPr>
      <w:sz w:val="24"/>
    </w:rPr>
  </w:style>
  <w:style w:type="paragraph" w:styleId="1019">
    <w:name w:val="正文列项_字母"/>
    <w:basedOn w:val="859"/>
    <w:next w:val="1019"/>
    <w:link w:val="859"/>
    <w:qFormat/>
    <w:pPr>
      <w:numPr>
        <w:ilvl w:val="6"/>
        <w:numId w:val="1"/>
      </w:numPr>
      <w:ind w:left="480" w:hanging="180"/>
      <w:spacing w:line="460" w:lineRule="exact"/>
      <w:tabs>
        <w:tab w:val="clear" w:pos="635" w:leader="none"/>
      </w:tabs>
      <w:outlineLvl w:val="6"/>
    </w:pPr>
    <w:rPr>
      <w:rFonts w:ascii="宋体"/>
      <w:sz w:val="28"/>
      <w:szCs w:val="20"/>
    </w:rPr>
  </w:style>
  <w:style w:type="paragraph" w:styleId="1020">
    <w:name w:val="xl28"/>
    <w:basedOn w:val="859"/>
    <w:next w:val="1020"/>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name w:val="xl47"/>
    <w:basedOn w:val="859"/>
    <w:next w:val="1021"/>
    <w:link w:val="8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2">
    <w:name w:val="默认段落字体 Para Char Char Char Char"/>
    <w:basedOn w:val="859"/>
    <w:next w:val="1022"/>
    <w:link w:val="859"/>
    <w:qFormat/>
    <w:rPr>
      <w:rFonts w:ascii="Arial" w:hAnsi="Arial" w:cs="Arial"/>
      <w:szCs w:val="21"/>
    </w:rPr>
  </w:style>
  <w:style w:type="paragraph" w:styleId="1023">
    <w:name w:val="xl48"/>
    <w:basedOn w:val="859"/>
    <w:next w:val="1023"/>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4">
    <w:name w:val="xl31"/>
    <w:basedOn w:val="859"/>
    <w:next w:val="1024"/>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5">
    <w:name w:val="xl53"/>
    <w:basedOn w:val="859"/>
    <w:next w:val="1025"/>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6">
    <w:name w:val="Char Char Char"/>
    <w:basedOn w:val="859"/>
    <w:next w:val="1026"/>
    <w:link w:val="859"/>
    <w:qFormat/>
    <w:rPr>
      <w:rFonts w:ascii="Tahoma" w:hAnsi="Tahoma"/>
      <w:sz w:val="24"/>
      <w:szCs w:val="20"/>
    </w:rPr>
  </w:style>
  <w:style w:type="paragraph" w:styleId="1027">
    <w:name w:val="xl50"/>
    <w:basedOn w:val="859"/>
    <w:next w:val="1027"/>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8">
    <w:name w:val="缺省文本"/>
    <w:basedOn w:val="859"/>
    <w:next w:val="1028"/>
    <w:link w:val="859"/>
    <w:qFormat/>
    <w:pPr>
      <w:jc w:val="left"/>
    </w:pPr>
    <w:rPr>
      <w:sz w:val="24"/>
    </w:rPr>
  </w:style>
  <w:style w:type="paragraph" w:styleId="1029">
    <w:name w:val="Char Char Char1"/>
    <w:basedOn w:val="859"/>
    <w:next w:val="1029"/>
    <w:link w:val="859"/>
    <w:qFormat/>
    <w:rPr>
      <w:rFonts w:ascii="Tahoma" w:hAnsi="Tahoma"/>
      <w:sz w:val="24"/>
      <w:szCs w:val="20"/>
    </w:rPr>
  </w:style>
  <w:style w:type="paragraph" w:styleId="1030">
    <w:name w:val="Char Char Char Char Char Char Char1"/>
    <w:basedOn w:val="859"/>
    <w:next w:val="1030"/>
    <w:link w:val="859"/>
    <w:qFormat/>
    <w:pPr>
      <w:ind w:firstLine="200"/>
      <w:spacing w:line="360" w:lineRule="auto"/>
    </w:pPr>
    <w:rPr>
      <w:rFonts w:eastAsia="仿宋_GB2312"/>
      <w:sz w:val="24"/>
    </w:rPr>
  </w:style>
  <w:style w:type="paragraph" w:styleId="1031">
    <w:name w:val="xl51"/>
    <w:basedOn w:val="859"/>
    <w:next w:val="1031"/>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样式2"/>
    <w:basedOn w:val="922"/>
    <w:next w:val="1032"/>
    <w:link w:val="859"/>
    <w:qFormat/>
    <w:pPr>
      <w:jc w:val="center"/>
      <w:spacing w:line="360" w:lineRule="auto"/>
    </w:pPr>
    <w:rPr>
      <w:sz w:val="24"/>
    </w:rPr>
  </w:style>
  <w:style w:type="paragraph" w:styleId="1033">
    <w:name w:val="xl24"/>
    <w:basedOn w:val="859"/>
    <w:next w:val="1033"/>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4">
    <w:name w:val="xl29"/>
    <w:basedOn w:val="859"/>
    <w:next w:val="1034"/>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5">
    <w:name w:val="正文 + 楷体_GB2312"/>
    <w:basedOn w:val="859"/>
    <w:next w:val="1035"/>
    <w:link w:val="859"/>
    <w:qFormat/>
    <w:pPr>
      <w:jc w:val="left"/>
      <w:widowControl/>
    </w:pPr>
    <w:rPr>
      <w:rFonts w:ascii="楷体_GB2312" w:eastAsia="楷体_GB2312" w:cs="Arial"/>
      <w:sz w:val="24"/>
    </w:rPr>
  </w:style>
  <w:style w:type="paragraph" w:styleId="1036">
    <w:name w:val="xl34"/>
    <w:basedOn w:val="859"/>
    <w:next w:val="1036"/>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7">
    <w:name w:val="1 Char Char Char Char"/>
    <w:basedOn w:val="859"/>
    <w:next w:val="1037"/>
    <w:link w:val="859"/>
    <w:qFormat/>
    <w:rPr>
      <w:rFonts w:ascii="Tahoma" w:hAnsi="Tahoma"/>
      <w:sz w:val="24"/>
      <w:szCs w:val="20"/>
    </w:rPr>
  </w:style>
  <w:style w:type="paragraph" w:styleId="1038">
    <w:name w:val="Default"/>
    <w:next w:val="1038"/>
    <w:link w:val="859"/>
    <w:qFormat/>
    <w:pPr>
      <w:widowControl w:val="off"/>
    </w:pPr>
    <w:rPr>
      <w:rFonts w:ascii="Symbol" w:hAnsi="Symbol" w:cs="Symbol"/>
      <w:color w:val="000000"/>
      <w:sz w:val="24"/>
      <w:szCs w:val="24"/>
      <w:lang w:val="en-US" w:eastAsia="zh-CN" w:bidi="ar-SA"/>
    </w:rPr>
  </w:style>
  <w:style w:type="paragraph" w:styleId="1039">
    <w:name w:val="列出段落1"/>
    <w:basedOn w:val="859"/>
    <w:next w:val="1039"/>
    <w:link w:val="859"/>
    <w:qFormat/>
    <w:pPr>
      <w:ind w:firstLine="420"/>
    </w:pPr>
    <w:rPr>
      <w:rFonts w:ascii="Calibri" w:hAnsi="Calibri"/>
      <w:szCs w:val="22"/>
    </w:rPr>
  </w:style>
  <w:style w:type="paragraph" w:styleId="1040">
    <w:name w:val="default"/>
    <w:basedOn w:val="859"/>
    <w:next w:val="1040"/>
    <w:link w:val="859"/>
    <w:qFormat/>
    <w:pPr>
      <w:jc w:val="left"/>
      <w:spacing w:before="100" w:beforeAutospacing="1" w:after="100" w:afterAutospacing="1"/>
      <w:widowControl/>
    </w:pPr>
    <w:rPr>
      <w:rFonts w:ascii="宋体" w:hAnsi="宋体" w:cs="宋体"/>
      <w:sz w:val="24"/>
    </w:rPr>
  </w:style>
  <w:style w:type="paragraph" w:styleId="1041">
    <w:name w:val="字元 字元1"/>
    <w:basedOn w:val="859"/>
    <w:next w:val="1041"/>
    <w:link w:val="859"/>
    <w:qFormat/>
    <w:rPr>
      <w:rFonts w:ascii="Tahoma" w:hAnsi="Tahoma"/>
      <w:sz w:val="24"/>
      <w:szCs w:val="20"/>
    </w:rPr>
  </w:style>
  <w:style w:type="paragraph" w:styleId="1042">
    <w:name w:val="_Style 160"/>
    <w:next w:val="1042"/>
    <w:link w:val="859"/>
    <w:qFormat/>
    <w:rPr>
      <w:sz w:val="21"/>
      <w:szCs w:val="24"/>
      <w:lang w:val="en-US" w:eastAsia="zh-CN" w:bidi="ar-SA"/>
    </w:rPr>
  </w:style>
  <w:style w:type="paragraph" w:styleId="1043">
    <w:name w:val="项目编号3"/>
    <w:basedOn w:val="1003"/>
    <w:next w:val="1043"/>
    <w:link w:val="859"/>
    <w:qFormat/>
    <w:pPr>
      <w:numPr>
        <w:ilvl w:val="0"/>
        <w:numId w:val="6"/>
      </w:numPr>
    </w:pPr>
  </w:style>
  <w:style w:type="paragraph" w:styleId="1044">
    <w:name w:val="Char21"/>
    <w:basedOn w:val="859"/>
    <w:next w:val="1044"/>
    <w:link w:val="859"/>
    <w:qFormat/>
    <w:rPr>
      <w:rFonts w:ascii="Tahoma" w:hAnsi="Tahoma"/>
      <w:sz w:val="24"/>
      <w:szCs w:val="20"/>
    </w:rPr>
  </w:style>
  <w:style w:type="paragraph" w:styleId="1045">
    <w:name w:val="表格文字"/>
    <w:basedOn w:val="892"/>
    <w:next w:val="1045"/>
    <w:link w:val="859"/>
    <w:qFormat/>
    <w:pPr>
      <w:ind w:firstLine="0"/>
      <w:spacing w:before="20" w:after="20" w:line="240" w:lineRule="auto"/>
    </w:pPr>
    <w:rPr>
      <w:rFonts w:ascii="Century Gothic" w:hAnsi="Century Gothic"/>
      <w:sz w:val="20"/>
      <w:szCs w:val="20"/>
    </w:rPr>
  </w:style>
  <w:style w:type="paragraph" w:styleId="1046">
    <w:name w:val="Char Char Char Char Char Char Char Char Char Char1"/>
    <w:basedOn w:val="859"/>
    <w:next w:val="1046"/>
    <w:link w:val="859"/>
    <w:qFormat/>
    <w:rPr>
      <w:rFonts w:ascii="宋体" w:hAnsi="宋体" w:cs="Courier New"/>
      <w:sz w:val="32"/>
      <w:szCs w:val="32"/>
    </w:rPr>
  </w:style>
  <w:style w:type="paragraph" w:styleId="1047">
    <w:name w:val="正文文本样式 加粗"/>
    <w:basedOn w:val="1003"/>
    <w:next w:val="1047"/>
    <w:link w:val="859"/>
    <w:qFormat/>
    <w:rPr>
      <w:b/>
    </w:rPr>
  </w:style>
  <w:style w:type="paragraph" w:styleId="1048">
    <w:name w:val="Char2 Char Char Char Char Char Char"/>
    <w:basedOn w:val="859"/>
    <w:next w:val="1048"/>
    <w:link w:val="859"/>
    <w:qFormat/>
    <w:pPr>
      <w:jc w:val="center"/>
      <w:spacing w:line="400" w:lineRule="exact"/>
      <w:widowControl/>
    </w:pPr>
  </w:style>
  <w:style w:type="paragraph" w:styleId="1049">
    <w:name w:val="Char Char4"/>
    <w:basedOn w:val="859"/>
    <w:next w:val="1049"/>
    <w:link w:val="859"/>
    <w:qFormat/>
    <w:pPr>
      <w:jc w:val="center"/>
      <w:spacing w:line="400" w:lineRule="exact"/>
      <w:widowControl/>
    </w:pPr>
  </w:style>
  <w:style w:type="paragraph" w:styleId="1050">
    <w:name w:val="Char3 Char Char Char1"/>
    <w:basedOn w:val="859"/>
    <w:next w:val="1050"/>
    <w:link w:val="859"/>
    <w:qFormat/>
    <w:rPr>
      <w:rFonts w:ascii="Tahoma" w:hAnsi="Tahoma"/>
      <w:sz w:val="24"/>
      <w:szCs w:val="20"/>
    </w:rPr>
  </w:style>
  <w:style w:type="paragraph" w:styleId="1051">
    <w:name w:val="无间隔"/>
    <w:next w:val="1051"/>
    <w:link w:val="859"/>
    <w:qFormat/>
    <w:pPr>
      <w:jc w:val="both"/>
      <w:widowControl w:val="off"/>
    </w:pPr>
    <w:rPr>
      <w:sz w:val="21"/>
      <w:szCs w:val="24"/>
      <w:lang w:val="en-US" w:eastAsia="zh-CN" w:bidi="ar-SA"/>
    </w:rPr>
  </w:style>
  <w:style w:type="paragraph" w:styleId="1052">
    <w:name w:val="22222222222222"/>
    <w:basedOn w:val="859"/>
    <w:next w:val="1052"/>
    <w:link w:val="859"/>
    <w:qFormat/>
    <w:pPr>
      <w:ind w:firstLine="480"/>
      <w:jc w:val="left"/>
      <w:spacing w:line="360" w:lineRule="auto"/>
      <w:widowControl/>
    </w:pPr>
    <w:rPr>
      <w:color w:val="ff0000"/>
      <w:sz w:val="24"/>
      <w:szCs w:val="20"/>
    </w:rPr>
  </w:style>
  <w:style w:type="character" w:styleId="1053">
    <w:name w:val="中等深浅网格 1 - 强调文字颜色 2 Char"/>
    <w:next w:val="1053"/>
    <w:link w:val="1054"/>
    <w:qFormat/>
    <w:rPr>
      <w:sz w:val="21"/>
      <w:szCs w:val="24"/>
      <w:lang w:val="zh-CN" w:eastAsia="zh-CN" w:bidi="ar-SA"/>
    </w:rPr>
  </w:style>
  <w:style w:type="paragraph" w:styleId="1054">
    <w:name w:val="1"/>
    <w:next w:val="1054"/>
    <w:link w:val="1053"/>
    <w:qFormat/>
    <w:rPr>
      <w:sz w:val="21"/>
      <w:szCs w:val="24"/>
      <w:lang w:val="zh-CN" w:eastAsia="zh-CN" w:bidi="ar-SA"/>
    </w:rPr>
  </w:style>
  <w:style w:type="paragraph" w:styleId="1055">
    <w:name w:val="图文"/>
    <w:basedOn w:val="859"/>
    <w:next w:val="1055"/>
    <w:link w:val="859"/>
    <w:qFormat/>
    <w:pPr>
      <w:spacing w:after="50" w:line="360" w:lineRule="auto"/>
    </w:pPr>
    <w:rPr>
      <w:sz w:val="24"/>
    </w:rPr>
  </w:style>
  <w:style w:type="paragraph" w:styleId="1056">
    <w:name w:val="xl23"/>
    <w:basedOn w:val="859"/>
    <w:next w:val="1056"/>
    <w:link w:val="859"/>
    <w:qFormat/>
    <w:pPr>
      <w:spacing w:before="100" w:beforeAutospacing="1" w:after="100" w:afterAutospacing="1" w:line="360" w:lineRule="auto"/>
      <w:widowControl/>
    </w:pPr>
    <w:rPr>
      <w:sz w:val="24"/>
      <w:szCs w:val="20"/>
    </w:rPr>
  </w:style>
  <w:style w:type="paragraph" w:styleId="1057">
    <w:name w:val="正文表格"/>
    <w:basedOn w:val="859"/>
    <w:next w:val="1057"/>
    <w:link w:val="1058"/>
    <w:qFormat/>
    <w:pPr>
      <w:jc w:val="left"/>
    </w:pPr>
    <w:rPr>
      <w:rFonts w:ascii="宋体" w:hAnsi="宋体"/>
      <w:color w:val="000000"/>
      <w:szCs w:val="21"/>
    </w:rPr>
  </w:style>
  <w:style w:type="character" w:styleId="1058">
    <w:name w:val="正文表格 Char"/>
    <w:next w:val="1058"/>
    <w:link w:val="1057"/>
    <w:qFormat/>
    <w:rPr>
      <w:rFonts w:ascii="宋体" w:hAnsi="宋体"/>
      <w:color w:val="000000"/>
      <w:sz w:val="21"/>
      <w:szCs w:val="21"/>
    </w:rPr>
  </w:style>
  <w:style w:type="paragraph" w:styleId="1059">
    <w:name w:val="正文重点"/>
    <w:basedOn w:val="859"/>
    <w:next w:val="1059"/>
    <w:link w:val="1060"/>
    <w:qFormat/>
    <w:pPr>
      <w:ind w:firstLine="482"/>
      <w:jc w:val="left"/>
      <w:spacing w:line="360" w:lineRule="auto"/>
    </w:pPr>
    <w:rPr>
      <w:b/>
      <w:sz w:val="24"/>
      <w:szCs w:val="20"/>
    </w:rPr>
  </w:style>
  <w:style w:type="character" w:styleId="1060">
    <w:name w:val="正文重点 Char"/>
    <w:next w:val="1060"/>
    <w:link w:val="1059"/>
    <w:qFormat/>
    <w:rPr>
      <w:b/>
      <w:sz w:val="24"/>
    </w:rPr>
  </w:style>
  <w:style w:type="paragraph" w:styleId="1061">
    <w:name w:val="标题1-附件"/>
    <w:basedOn w:val="860"/>
    <w:next w:val="1061"/>
    <w:link w:val="859"/>
    <w:qFormat/>
    <w:pPr>
      <w:jc w:val="left"/>
    </w:pPr>
    <w:rPr>
      <w:sz w:val="24"/>
      <w:szCs w:val="24"/>
    </w:rPr>
  </w:style>
  <w:style w:type="paragraph" w:styleId="1062">
    <w:name w:val="正文小标题"/>
    <w:basedOn w:val="859"/>
    <w:next w:val="875"/>
    <w:link w:val="1063"/>
    <w:qFormat/>
    <w:pPr>
      <w:ind w:firstLine="482"/>
      <w:jc w:val="left"/>
      <w:spacing w:before="312" w:after="312"/>
    </w:pPr>
    <w:rPr>
      <w:rFonts w:ascii="宋体" w:hAnsi="宋体"/>
      <w:b/>
      <w:i/>
      <w:color w:val="ff0000"/>
      <w:sz w:val="24"/>
      <w:szCs w:val="20"/>
    </w:rPr>
  </w:style>
  <w:style w:type="character" w:styleId="1063">
    <w:name w:val="正文小标题 Char"/>
    <w:next w:val="1063"/>
    <w:link w:val="1062"/>
    <w:qFormat/>
    <w:rPr>
      <w:rFonts w:ascii="宋体" w:hAnsi="宋体"/>
      <w:b/>
      <w:i/>
      <w:color w:val="ff0000"/>
      <w:sz w:val="24"/>
    </w:rPr>
  </w:style>
  <w:style w:type="paragraph" w:styleId="1064">
    <w:name w:val="正文大标题"/>
    <w:basedOn w:val="1062"/>
    <w:next w:val="875"/>
    <w:link w:val="1065"/>
    <w:qFormat/>
    <w:pPr>
      <w:jc w:val="center"/>
    </w:pPr>
    <w:rPr>
      <w:i w:val="0"/>
      <w:color w:val="000000"/>
      <w:sz w:val="28"/>
      <w:szCs w:val="21"/>
    </w:rPr>
  </w:style>
  <w:style w:type="character" w:styleId="1065">
    <w:name w:val="正文大标题 Char"/>
    <w:next w:val="1065"/>
    <w:link w:val="1064"/>
    <w:qFormat/>
    <w:rPr>
      <w:rFonts w:ascii="宋体" w:hAnsi="宋体"/>
      <w:b/>
      <w:color w:val="000000"/>
      <w:sz w:val="28"/>
      <w:szCs w:val="21"/>
    </w:rPr>
  </w:style>
  <w:style w:type="paragraph" w:styleId="1066">
    <w:name w:val="注释"/>
    <w:basedOn w:val="859"/>
    <w:next w:val="1066"/>
    <w:link w:val="1067"/>
    <w:qFormat/>
    <w:pPr>
      <w:ind w:left="420" w:hanging="420"/>
      <w:jc w:val="left"/>
    </w:pPr>
    <w:rPr>
      <w:rFonts w:ascii="宋体" w:hAnsi="宋体"/>
      <w:szCs w:val="21"/>
    </w:rPr>
  </w:style>
  <w:style w:type="character" w:styleId="1067">
    <w:name w:val="注释 Char"/>
    <w:next w:val="1067"/>
    <w:link w:val="1066"/>
    <w:qFormat/>
    <w:rPr>
      <w:rFonts w:ascii="宋体" w:hAnsi="宋体"/>
      <w:sz w:val="21"/>
      <w:szCs w:val="21"/>
    </w:rPr>
  </w:style>
  <w:style w:type="paragraph" w:styleId="1068">
    <w:name w:val="正文须知-1级"/>
    <w:basedOn w:val="859"/>
    <w:next w:val="859"/>
    <w:link w:val="859"/>
    <w:qFormat/>
    <w:pPr>
      <w:numPr>
        <w:ilvl w:val="0"/>
        <w:numId w:val="7"/>
      </w:numPr>
      <w:spacing w:line="300" w:lineRule="auto"/>
    </w:pPr>
    <w:rPr>
      <w:rFonts w:ascii="宋体" w:hAnsi="Calibri"/>
      <w:sz w:val="24"/>
      <w:szCs w:val="21"/>
    </w:rPr>
  </w:style>
  <w:style w:type="paragraph" w:styleId="1069">
    <w:name w:val="正文须知-2级"/>
    <w:basedOn w:val="859"/>
    <w:next w:val="1069"/>
    <w:link w:val="859"/>
    <w:qFormat/>
    <w:pPr>
      <w:numPr>
        <w:ilvl w:val="1"/>
        <w:numId w:val="7"/>
      </w:numPr>
      <w:spacing w:line="300" w:lineRule="auto"/>
    </w:pPr>
    <w:rPr>
      <w:rFonts w:ascii="宋体" w:hAnsi="Calibri"/>
      <w:sz w:val="24"/>
      <w:szCs w:val="21"/>
    </w:rPr>
  </w:style>
  <w:style w:type="paragraph" w:styleId="1070">
    <w:name w:val="正文须知-3级"/>
    <w:basedOn w:val="859"/>
    <w:next w:val="1070"/>
    <w:link w:val="859"/>
    <w:qFormat/>
    <w:pPr>
      <w:numPr>
        <w:ilvl w:val="2"/>
        <w:numId w:val="7"/>
      </w:numPr>
      <w:ind w:hanging="355"/>
      <w:spacing w:line="300" w:lineRule="auto"/>
    </w:pPr>
    <w:rPr>
      <w:rFonts w:ascii="宋体" w:hAnsi="Calibri"/>
      <w:sz w:val="24"/>
      <w:szCs w:val="21"/>
    </w:rPr>
  </w:style>
  <w:style w:type="character" w:styleId="1071">
    <w:name w:val="纯文本 字符"/>
    <w:next w:val="1071"/>
    <w:link w:val="859"/>
    <w:uiPriority w:val="99"/>
    <w:qFormat/>
    <w:rPr>
      <w:rFonts w:ascii="宋体" w:hAnsi="Courier New" w:eastAsia="宋体" w:cs="Times New Roman"/>
      <w:sz w:val="21"/>
      <w:szCs w:val="21"/>
      <w:lang w:val="en-US" w:eastAsia="zh-CN" w:bidi="ar-SA"/>
    </w:rPr>
  </w:style>
  <w:style w:type="paragraph" w:styleId="1072">
    <w:name w:val="表格1"/>
    <w:basedOn w:val="859"/>
    <w:next w:val="1072"/>
    <w:link w:val="859"/>
    <w:qFormat/>
    <w:pPr>
      <w:ind w:firstLine="480"/>
      <w:jc w:val="center"/>
    </w:pPr>
    <w:rPr>
      <w:sz w:val="24"/>
      <w:szCs w:val="20"/>
    </w:rPr>
  </w:style>
  <w:style w:type="character" w:styleId="1073">
    <w:name w:val="纯文本 字符1"/>
    <w:next w:val="1073"/>
    <w:link w:val="859"/>
    <w:qFormat/>
    <w:rPr>
      <w:rFonts w:ascii="宋体" w:hAnsi="Courier New"/>
    </w:rPr>
  </w:style>
  <w:style w:type="character" w:styleId="1074">
    <w:name w:val="bjh-p"/>
    <w:next w:val="1074"/>
    <w:link w:val="859"/>
    <w:qFormat/>
  </w:style>
  <w:style w:type="paragraph" w:styleId="1075">
    <w:name w:val="无标题条"/>
    <w:next w:val="859"/>
    <w:link w:val="859"/>
    <w:qFormat/>
    <w:pPr>
      <w:jc w:val="both"/>
    </w:pPr>
    <w:rPr>
      <w:sz w:val="21"/>
      <w:lang w:val="en-US" w:eastAsia="zh-CN" w:bidi="ar-SA"/>
    </w:rPr>
  </w:style>
  <w:style w:type="character" w:styleId="1076">
    <w:name w:val="正文格式 Char"/>
    <w:next w:val="1076"/>
    <w:link w:val="1077"/>
    <w:qFormat/>
    <w:rPr>
      <w:rFonts w:ascii="宋体" w:hAnsi="宋体"/>
      <w:sz w:val="24"/>
      <w:szCs w:val="24"/>
      <w:lang w:val="en-GB"/>
    </w:rPr>
  </w:style>
  <w:style w:type="paragraph" w:styleId="1077">
    <w:name w:val="正文格式"/>
    <w:basedOn w:val="859"/>
    <w:next w:val="1077"/>
    <w:link w:val="1076"/>
    <w:qFormat/>
    <w:pPr>
      <w:ind w:firstLine="480"/>
      <w:spacing w:line="360" w:lineRule="auto"/>
    </w:pPr>
    <w:rPr>
      <w:rFonts w:ascii="宋体" w:hAnsi="宋体"/>
      <w:sz w:val="24"/>
      <w:lang w:val="en-GB"/>
    </w:rPr>
  </w:style>
  <w:style w:type="character" w:styleId="1078">
    <w:name w:val="标题 3 Char"/>
    <w:next w:val="1078"/>
    <w:link w:val="859"/>
    <w:qFormat/>
    <w:rPr>
      <w:rFonts w:ascii="宋体" w:eastAsia="宋体"/>
      <w:b/>
      <w:sz w:val="24"/>
      <w:u w:val="single"/>
      <w:lang w:val="en-US" w:eastAsia="zh-CN" w:bidi="ar-SA"/>
    </w:rPr>
  </w:style>
  <w:style w:type="character" w:styleId="1079">
    <w:name w:val="正文缩进 Char"/>
    <w:next w:val="1079"/>
    <w:link w:val="859"/>
    <w:qFormat/>
    <w:rPr>
      <w:rFonts w:ascii="宋体" w:eastAsia="宋体"/>
      <w:sz w:val="24"/>
      <w:szCs w:val="24"/>
      <w:lang w:val="en-US" w:eastAsia="zh-CN" w:bidi="ar-SA"/>
    </w:rPr>
  </w:style>
  <w:style w:type="character" w:styleId="1080">
    <w:name w:val="Char Char111"/>
    <w:next w:val="1080"/>
    <w:link w:val="859"/>
    <w:qFormat/>
    <w:rPr>
      <w:rFonts w:ascii="宋体" w:eastAsia="宋体"/>
      <w:b/>
      <w:sz w:val="24"/>
      <w:u w:val="single"/>
      <w:lang w:val="en-US" w:eastAsia="zh-CN" w:bidi="ar-SA"/>
    </w:rPr>
  </w:style>
  <w:style w:type="character" w:styleId="1081">
    <w:name w:val="正文文本缩进 Char"/>
    <w:next w:val="1081"/>
    <w:link w:val="859"/>
    <w:qFormat/>
    <w:rPr>
      <w:rFonts w:eastAsia="宋体"/>
      <w:sz w:val="24"/>
      <w:szCs w:val="24"/>
      <w:lang w:val="en-US" w:eastAsia="zh-CN" w:bidi="ar-SA"/>
    </w:rPr>
  </w:style>
  <w:style w:type="character" w:styleId="1082">
    <w:name w:val="列出段落 Char"/>
    <w:next w:val="1082"/>
    <w:link w:val="859"/>
    <w:qFormat/>
    <w:rPr>
      <w:rFonts w:ascii="Calibri" w:hAnsi="Calibri" w:eastAsia="宋体"/>
      <w:sz w:val="21"/>
      <w:szCs w:val="22"/>
      <w:lang w:val="en-US" w:eastAsia="zh-CN" w:bidi="ar-SA"/>
    </w:rPr>
  </w:style>
  <w:style w:type="character" w:styleId="1083">
    <w:name w:val="页眉 Char"/>
    <w:next w:val="1083"/>
    <w:link w:val="859"/>
    <w:qFormat/>
    <w:rPr>
      <w:rFonts w:eastAsia="宋体"/>
      <w:sz w:val="18"/>
      <w:szCs w:val="18"/>
      <w:lang w:val="en-US" w:eastAsia="zh-CN" w:bidi="ar-SA"/>
    </w:rPr>
  </w:style>
  <w:style w:type="character" w:styleId="1084">
    <w:name w:val="标题 2 Char"/>
    <w:next w:val="1084"/>
    <w:link w:val="859"/>
    <w:qFormat/>
    <w:rPr>
      <w:rFonts w:ascii="Arial" w:hAnsi="Arial" w:eastAsia="黑体"/>
      <w:b/>
      <w:sz w:val="30"/>
      <w:lang w:val="en-US" w:eastAsia="zh-CN" w:bidi="ar-SA"/>
    </w:rPr>
  </w:style>
  <w:style w:type="paragraph" w:styleId="1085">
    <w:name w:val="字元 字元2"/>
    <w:basedOn w:val="859"/>
    <w:next w:val="1085"/>
    <w:link w:val="859"/>
    <w:qFormat/>
    <w:rPr>
      <w:rFonts w:ascii="Tahoma" w:hAnsi="Tahoma"/>
      <w:sz w:val="24"/>
      <w:szCs w:val="20"/>
    </w:rPr>
  </w:style>
  <w:style w:type="paragraph" w:styleId="1086">
    <w:name w:val="Char3 Char Char Char2"/>
    <w:basedOn w:val="859"/>
    <w:next w:val="1086"/>
    <w:link w:val="859"/>
    <w:qFormat/>
    <w:rPr>
      <w:rFonts w:ascii="Tahoma" w:hAnsi="Tahoma"/>
      <w:sz w:val="24"/>
      <w:szCs w:val="20"/>
    </w:rPr>
  </w:style>
  <w:style w:type="paragraph" w:styleId="1087">
    <w:name w:val="正文文本缩进2"/>
    <w:basedOn w:val="859"/>
    <w:next w:val="1087"/>
    <w:link w:val="859"/>
    <w:qFormat/>
    <w:pPr>
      <w:ind w:firstLine="480"/>
      <w:spacing w:line="480" w:lineRule="exact"/>
    </w:pPr>
    <w:rPr>
      <w:rFonts w:ascii="宋体" w:hAnsi="宋体"/>
      <w:sz w:val="24"/>
      <w:lang w:val="zh-CN" w:eastAsia="zh-CN"/>
    </w:rPr>
  </w:style>
  <w:style w:type="paragraph" w:styleId="1088">
    <w:name w:val="Char3"/>
    <w:basedOn w:val="859"/>
    <w:next w:val="1088"/>
    <w:link w:val="859"/>
    <w:qFormat/>
    <w:pPr>
      <w:tabs>
        <w:tab w:val="left" w:pos="360" w:leader="none"/>
      </w:tabs>
    </w:pPr>
    <w:rPr>
      <w:sz w:val="24"/>
    </w:rPr>
  </w:style>
  <w:style w:type="paragraph" w:styleId="1089">
    <w:name w:val="Char Char Char Char Char Char Char Char Char Char Char Char Char Char Char Char1"/>
    <w:basedOn w:val="859"/>
    <w:next w:val="1089"/>
    <w:link w:val="859"/>
    <w:qFormat/>
    <w:pPr>
      <w:jc w:val="center"/>
      <w:spacing w:after="160" w:line="240" w:lineRule="exact"/>
      <w:widowControl/>
    </w:pPr>
    <w:rPr>
      <w:rFonts w:ascii="宋体" w:hAnsi="宋体"/>
      <w:b/>
      <w:sz w:val="30"/>
      <w:szCs w:val="30"/>
      <w:lang w:eastAsia="en-US"/>
    </w:rPr>
  </w:style>
  <w:style w:type="paragraph" w:styleId="1090">
    <w:name w:val="Char Char1 Char Char Char Char Char Char1"/>
    <w:basedOn w:val="859"/>
    <w:next w:val="1090"/>
    <w:link w:val="859"/>
    <w:qFormat/>
    <w:pPr>
      <w:jc w:val="left"/>
      <w:spacing w:after="160" w:line="240" w:lineRule="exact"/>
      <w:widowControl/>
    </w:pPr>
    <w:rPr>
      <w:rFonts w:ascii="Verdana" w:hAnsi="Verdana" w:eastAsia="仿宋_GB2312"/>
      <w:sz w:val="24"/>
      <w:szCs w:val="20"/>
      <w:lang w:eastAsia="en-US"/>
    </w:rPr>
  </w:style>
  <w:style w:type="paragraph" w:styleId="1091">
    <w:name w:val="列出段落2"/>
    <w:basedOn w:val="859"/>
    <w:next w:val="1091"/>
    <w:link w:val="859"/>
    <w:qFormat/>
    <w:pPr>
      <w:ind w:firstLine="420"/>
    </w:pPr>
    <w:rPr>
      <w:rFonts w:ascii="Calibri" w:hAnsi="Calibri"/>
      <w:szCs w:val="22"/>
    </w:rPr>
  </w:style>
  <w:style w:type="paragraph" w:styleId="1092">
    <w:name w:val="Char Char Char1 Char2"/>
    <w:basedOn w:val="859"/>
    <w:next w:val="1092"/>
    <w:link w:val="859"/>
    <w:qFormat/>
    <w:rPr>
      <w:rFonts w:ascii="Tahoma" w:hAnsi="Tahoma"/>
      <w:sz w:val="24"/>
      <w:szCs w:val="20"/>
    </w:rPr>
  </w:style>
  <w:style w:type="paragraph" w:styleId="1093">
    <w:name w:val="Char Char Char2"/>
    <w:basedOn w:val="859"/>
    <w:next w:val="1093"/>
    <w:link w:val="859"/>
    <w:qFormat/>
    <w:rPr>
      <w:rFonts w:ascii="Tahoma" w:hAnsi="Tahoma"/>
      <w:sz w:val="24"/>
      <w:szCs w:val="20"/>
    </w:rPr>
  </w:style>
  <w:style w:type="paragraph" w:styleId="1094">
    <w:name w:val="Char Char Char Char Char Char Char2"/>
    <w:basedOn w:val="859"/>
    <w:next w:val="1094"/>
    <w:link w:val="859"/>
    <w:qFormat/>
    <w:pPr>
      <w:ind w:firstLine="200"/>
      <w:spacing w:line="360" w:lineRule="auto"/>
    </w:pPr>
    <w:rPr>
      <w:rFonts w:eastAsia="仿宋_GB2312"/>
      <w:sz w:val="24"/>
    </w:rPr>
  </w:style>
  <w:style w:type="paragraph" w:styleId="1095">
    <w:name w:val="正文缩进2"/>
    <w:basedOn w:val="859"/>
    <w:next w:val="1095"/>
    <w:link w:val="859"/>
    <w:qFormat/>
    <w:pPr>
      <w:ind w:firstLine="567"/>
      <w:spacing w:line="480" w:lineRule="exact"/>
      <w:widowControl/>
    </w:pPr>
    <w:rPr>
      <w:rFonts w:ascii="宋体"/>
      <w:color w:val="000000"/>
      <w:sz w:val="28"/>
      <w:szCs w:val="20"/>
      <w:lang w:val="zh-CN" w:eastAsia="zh-CN"/>
    </w:rPr>
  </w:style>
  <w:style w:type="paragraph" w:styleId="1096">
    <w:name w:val="Revision"/>
    <w:next w:val="1096"/>
    <w:link w:val="859"/>
    <w:qFormat/>
    <w:rPr>
      <w:sz w:val="21"/>
      <w:szCs w:val="24"/>
      <w:lang w:val="en-US" w:eastAsia="zh-CN" w:bidi="ar-SA"/>
    </w:rPr>
  </w:style>
  <w:style w:type="paragraph" w:styleId="1097">
    <w:name w:val="Char22"/>
    <w:basedOn w:val="859"/>
    <w:next w:val="1097"/>
    <w:link w:val="859"/>
    <w:qFormat/>
    <w:rPr>
      <w:rFonts w:ascii="Tahoma" w:hAnsi="Tahoma"/>
      <w:sz w:val="24"/>
      <w:szCs w:val="20"/>
    </w:rPr>
  </w:style>
  <w:style w:type="paragraph" w:styleId="1098">
    <w:name w:val="Char Char Char Char Char Char Char Char Char Char2"/>
    <w:basedOn w:val="859"/>
    <w:next w:val="1098"/>
    <w:link w:val="859"/>
    <w:qFormat/>
    <w:rPr>
      <w:rFonts w:ascii="宋体" w:hAnsi="宋体" w:cs="Courier New"/>
      <w:sz w:val="32"/>
      <w:szCs w:val="32"/>
    </w:rPr>
  </w:style>
  <w:style w:type="paragraph" w:styleId="1099">
    <w:name w:val="Char2 Char Char Char Char Char Char1"/>
    <w:basedOn w:val="859"/>
    <w:next w:val="1099"/>
    <w:link w:val="859"/>
    <w:qFormat/>
    <w:pPr>
      <w:jc w:val="center"/>
      <w:spacing w:line="400" w:lineRule="exact"/>
      <w:widowControl/>
    </w:pPr>
  </w:style>
  <w:style w:type="character" w:styleId="1100">
    <w:name w:val="页脚 Char"/>
    <w:next w:val="1100"/>
    <w:link w:val="859"/>
    <w:qFormat/>
    <w:rPr>
      <w:rFonts w:ascii="宋体" w:eastAsia="宋体"/>
      <w:sz w:val="18"/>
      <w:lang w:val="en-US" w:eastAsia="zh-CN" w:bidi="ar-SA"/>
    </w:rPr>
  </w:style>
  <w:style w:type="paragraph" w:styleId="1101">
    <w:name w:val="Char Char41"/>
    <w:basedOn w:val="859"/>
    <w:next w:val="1101"/>
    <w:link w:val="859"/>
    <w:qFormat/>
    <w:pPr>
      <w:jc w:val="center"/>
      <w:spacing w:line="400" w:lineRule="exact"/>
      <w:widowControl/>
    </w:pPr>
  </w:style>
  <w:style w:type="character" w:styleId="1102">
    <w:name w:val="批注文字 Char"/>
    <w:next w:val="1102"/>
    <w:link w:val="859"/>
    <w:uiPriority w:val="99"/>
    <w:qFormat/>
    <w:rPr>
      <w:sz w:val="21"/>
      <w:szCs w:val="24"/>
    </w:rPr>
  </w:style>
  <w:style w:type="character" w:styleId="1103">
    <w:name w:val="标题 Char"/>
    <w:next w:val="1103"/>
    <w:link w:val="859"/>
    <w:qFormat/>
    <w:rPr>
      <w:b/>
      <w:sz w:val="32"/>
    </w:rPr>
  </w:style>
  <w:style w:type="paragraph" w:styleId="1104">
    <w:name w:val="图例"/>
    <w:basedOn w:val="859"/>
    <w:next w:val="1104"/>
    <w:link w:val="859"/>
    <w:qFormat/>
    <w:pPr>
      <w:jc w:val="center"/>
      <w:spacing w:before="120" w:after="120" w:line="360" w:lineRule="auto"/>
    </w:pPr>
    <w:rPr>
      <w:rFonts w:eastAsia="仿宋_GB2312"/>
      <w:b/>
      <w:sz w:val="24"/>
      <w:szCs w:val="20"/>
    </w:rPr>
  </w:style>
  <w:style w:type="table" w:styleId="1105">
    <w:name w:val="Table Normal"/>
    <w:next w:val="1105"/>
    <w:link w:val="859"/>
    <w:uiPriority w:val="2"/>
    <w:unhideWhenUsed/>
    <w:qFormat/>
    <w:pPr>
      <w:widowControl w:val="off"/>
    </w:pPr>
    <w:rPr>
      <w:rFonts w:ascii="Calibri" w:hAnsi="Calibri"/>
      <w:sz w:val="22"/>
      <w:szCs w:val="22"/>
      <w:lang w:val="en-US" w:eastAsia="en-US" w:bidi="ar-SA"/>
    </w:rPr>
    <w:tblPr/>
  </w:style>
  <w:style w:type="paragraph" w:styleId="1106">
    <w:name w:val="Table Paragraph"/>
    <w:basedOn w:val="859"/>
    <w:next w:val="1106"/>
    <w:link w:val="859"/>
    <w:uiPriority w:val="1"/>
    <w:qFormat/>
    <w:pPr>
      <w:jc w:val="left"/>
    </w:pPr>
    <w:rPr>
      <w:rFonts w:ascii="宋体" w:hAnsi="宋体" w:cs="宋体"/>
      <w:sz w:val="22"/>
      <w:szCs w:val="22"/>
      <w:lang w:eastAsia="en-US"/>
    </w:rPr>
  </w:style>
  <w:style w:type="paragraph" w:styleId="1107">
    <w:name w:val="成文日期"/>
    <w:basedOn w:val="859"/>
    <w:next w:val="1107"/>
    <w:link w:val="1108"/>
    <w:qFormat/>
    <w:pPr>
      <w:ind w:right="400" w:firstLine="200"/>
      <w:jc w:val="right"/>
      <w:spacing w:line="570" w:lineRule="exact"/>
    </w:pPr>
    <w:rPr>
      <w:rFonts w:ascii="仿宋_GB2312" w:eastAsia="仿宋_GB2312"/>
      <w:sz w:val="32"/>
      <w:szCs w:val="20"/>
    </w:rPr>
  </w:style>
  <w:style w:type="character" w:styleId="1108">
    <w:name w:val="成文日期 Char"/>
    <w:next w:val="1108"/>
    <w:link w:val="1107"/>
    <w:rPr>
      <w:rFonts w:ascii="仿宋_GB2312" w:eastAsia="仿宋_GB2312"/>
      <w:sz w:val="32"/>
    </w:rPr>
  </w:style>
  <w:style w:type="paragraph" w:styleId="1109">
    <w:name w:val="修订"/>
    <w:next w:val="1109"/>
    <w:link w:val="859"/>
    <w:uiPriority w:val="99"/>
    <w:unhideWhenUsed/>
    <w:rPr>
      <w:sz w:val="21"/>
      <w:szCs w:val="24"/>
      <w:lang w:val="en-US" w:eastAsia="zh-CN" w:bidi="ar-SA"/>
    </w:rPr>
  </w:style>
  <w:style w:type="character" w:styleId="1110">
    <w:name w:val="正文缩进 字符"/>
    <w:next w:val="1110"/>
    <w:link w:val="859"/>
    <w:uiPriority w:val="99"/>
    <w:qFormat/>
    <w:rPr>
      <w:rFonts w:ascii="宋体" w:hAnsi="Times New Roman" w:eastAsia="宋体" w:cs="Times New Roman"/>
      <w:sz w:val="24"/>
    </w:rPr>
  </w:style>
  <w:style w:type="character" w:styleId="1111">
    <w:name w:val="正文文本 字符"/>
    <w:next w:val="1111"/>
    <w:link w:val="859"/>
    <w:qFormat/>
    <w:rPr>
      <w:rFonts w:ascii="宋体" w:hAnsi="宋体"/>
      <w:sz w:val="24"/>
      <w:szCs w:val="24"/>
    </w:rPr>
  </w:style>
  <w:style w:type="paragraph" w:styleId="1112">
    <w:name w:val="纯文本1"/>
    <w:next w:val="913"/>
    <w:link w:val="859"/>
    <w:qFormat/>
    <w:pPr>
      <w:jc w:val="both"/>
      <w:widowControl w:val="off"/>
    </w:pPr>
    <w:rPr>
      <w:rFonts w:ascii="宋体" w:hAnsi="宋体"/>
      <w:sz w:val="26"/>
      <w:szCs w:val="24"/>
      <w:lang w:val="en-US" w:eastAsia="zh-CN" w:bidi="ar-SA"/>
    </w:rPr>
  </w:style>
  <w:style w:type="paragraph" w:styleId="1113">
    <w:name w:val="AONormal"/>
    <w:next w:val="1113"/>
    <w:link w:val="859"/>
    <w:qFormat/>
    <w:pPr>
      <w:ind w:firstLine="440"/>
      <w:spacing w:line="400" w:lineRule="exact"/>
    </w:pPr>
    <w:rPr>
      <w:rFonts w:ascii="华文楷体" w:hAnsi="华文楷体" w:eastAsia="华文楷体" w:cs="华文楷体"/>
      <w:sz w:val="22"/>
      <w:szCs w:val="21"/>
      <w:lang w:val="en-US" w:eastAsia="zh-CN" w:bidi="ar-SA"/>
    </w:rPr>
  </w:style>
  <w:style w:type="paragraph" w:styleId="1114">
    <w:name w:val="List Paragraph2"/>
    <w:basedOn w:val="859"/>
    <w:next w:val="1114"/>
    <w:link w:val="859"/>
    <w:uiPriority w:val="99"/>
    <w:qFormat/>
    <w:pPr>
      <w:ind w:firstLine="420"/>
    </w:pPr>
    <w:rPr>
      <w:rFonts w:ascii="Times New Roman" w:hAnsi="Times New Roman"/>
      <w:szCs w:val="20"/>
    </w:rPr>
  </w:style>
  <w:style w:type="character" w:styleId="15739" w:default="1">
    <w:name w:val="Default Paragraph Font"/>
    <w:uiPriority w:val="1"/>
    <w:semiHidden/>
    <w:unhideWhenUsed/>
  </w:style>
  <w:style w:type="numbering" w:styleId="15740" w:default="1">
    <w:name w:val="No List"/>
    <w:uiPriority w:val="99"/>
    <w:semiHidden/>
    <w:unhideWhenUsed/>
  </w:style>
  <w:style w:type="table" w:styleId="157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7</cp:revision>
  <dcterms:created xsi:type="dcterms:W3CDTF">2022-05-30T08:08:00Z</dcterms:created>
  <dcterms:modified xsi:type="dcterms:W3CDTF">2025-11-25T08:35:10Z</dcterms:modified>
</cp:coreProperties>
</file>